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5FCAD" w14:textId="17841989" w:rsidR="006A678F" w:rsidRPr="008D5609" w:rsidRDefault="006A678F" w:rsidP="006A678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8D5609">
        <w:rPr>
          <w:lang w:val="en-US"/>
        </w:rPr>
        <w:t>3GPP TSG-RAN WG2 #95bis</w:t>
      </w:r>
      <w:r w:rsidRPr="008D5609">
        <w:rPr>
          <w:lang w:val="en-US"/>
        </w:rPr>
        <w:tab/>
      </w:r>
      <w:r w:rsidRPr="008D5609">
        <w:rPr>
          <w:sz w:val="32"/>
          <w:szCs w:val="32"/>
          <w:lang w:val="en-US"/>
        </w:rPr>
        <w:t>Tdoc R2-16</w:t>
      </w:r>
      <w:r w:rsidR="00652660" w:rsidRPr="00652660">
        <w:rPr>
          <w:sz w:val="32"/>
          <w:szCs w:val="32"/>
          <w:lang w:val="en-US"/>
        </w:rPr>
        <w:t>6777</w:t>
      </w:r>
    </w:p>
    <w:p w14:paraId="562B68A4" w14:textId="77777777" w:rsidR="006A678F" w:rsidRPr="008D5609" w:rsidRDefault="006A678F" w:rsidP="006A678F">
      <w:pPr>
        <w:pStyle w:val="CRCoverPage"/>
        <w:outlineLvl w:val="0"/>
        <w:rPr>
          <w:b/>
          <w:noProof/>
          <w:sz w:val="24"/>
          <w:lang w:val="en-US"/>
        </w:rPr>
      </w:pPr>
      <w:bookmarkStart w:id="0" w:name="_Toc462925780"/>
      <w:r w:rsidRPr="008D5609">
        <w:rPr>
          <w:b/>
          <w:noProof/>
          <w:sz w:val="24"/>
          <w:lang w:val="en-US"/>
        </w:rPr>
        <w:t>Kaohsiung, Taiwan, 10</w:t>
      </w:r>
      <w:r w:rsidRPr="008D5609">
        <w:rPr>
          <w:b/>
          <w:noProof/>
          <w:sz w:val="24"/>
          <w:vertAlign w:val="superscript"/>
          <w:lang w:val="en-US"/>
        </w:rPr>
        <w:t>th</w:t>
      </w:r>
      <w:r w:rsidRPr="008D5609">
        <w:rPr>
          <w:b/>
          <w:noProof/>
          <w:sz w:val="24"/>
          <w:lang w:val="en-US"/>
        </w:rPr>
        <w:t xml:space="preserve"> – 14</w:t>
      </w:r>
      <w:r w:rsidRPr="008D5609">
        <w:rPr>
          <w:b/>
          <w:noProof/>
          <w:sz w:val="24"/>
          <w:vertAlign w:val="superscript"/>
          <w:lang w:val="en-US"/>
        </w:rPr>
        <w:t>th</w:t>
      </w:r>
      <w:r w:rsidRPr="008D5609">
        <w:rPr>
          <w:b/>
          <w:noProof/>
          <w:sz w:val="24"/>
          <w:lang w:val="en-US"/>
        </w:rPr>
        <w:t xml:space="preserve"> October 2016</w:t>
      </w:r>
      <w:bookmarkEnd w:id="0"/>
    </w:p>
    <w:p w14:paraId="5A5A35B7" w14:textId="77777777" w:rsidR="006A678F" w:rsidRPr="008D5609" w:rsidRDefault="006A678F" w:rsidP="006A678F">
      <w:pPr>
        <w:pStyle w:val="3GPPHeader"/>
        <w:rPr>
          <w:lang w:val="en-US"/>
        </w:rPr>
      </w:pPr>
    </w:p>
    <w:p w14:paraId="51CB9B06" w14:textId="165D2ACC" w:rsidR="006A678F" w:rsidRPr="008D5609" w:rsidRDefault="006A678F" w:rsidP="006A678F">
      <w:pPr>
        <w:pStyle w:val="3GPPHeader"/>
        <w:rPr>
          <w:sz w:val="22"/>
          <w:szCs w:val="22"/>
          <w:lang w:val="en-US"/>
        </w:rPr>
      </w:pPr>
      <w:r w:rsidRPr="008D5609">
        <w:rPr>
          <w:sz w:val="22"/>
          <w:szCs w:val="22"/>
          <w:lang w:val="en-US"/>
        </w:rPr>
        <w:t>Agenda Item:</w:t>
      </w:r>
      <w:r w:rsidRPr="008D5609">
        <w:rPr>
          <w:sz w:val="22"/>
          <w:szCs w:val="22"/>
          <w:lang w:val="en-US"/>
        </w:rPr>
        <w:tab/>
      </w:r>
      <w:r w:rsidR="00786410" w:rsidRPr="00786410">
        <w:rPr>
          <w:sz w:val="22"/>
          <w:szCs w:val="22"/>
          <w:lang w:val="en-US"/>
        </w:rPr>
        <w:t>9.2.2.3</w:t>
      </w:r>
    </w:p>
    <w:p w14:paraId="0B072474" w14:textId="77777777" w:rsidR="006A678F" w:rsidRPr="008D5609" w:rsidRDefault="006A678F" w:rsidP="006A678F">
      <w:pPr>
        <w:pStyle w:val="3GPPHeader"/>
        <w:rPr>
          <w:sz w:val="22"/>
          <w:szCs w:val="22"/>
          <w:lang w:val="en-US"/>
        </w:rPr>
      </w:pPr>
      <w:r w:rsidRPr="008D5609">
        <w:rPr>
          <w:sz w:val="22"/>
          <w:szCs w:val="22"/>
          <w:lang w:val="en-US"/>
        </w:rPr>
        <w:t>Source:</w:t>
      </w:r>
      <w:r w:rsidRPr="008D5609">
        <w:rPr>
          <w:sz w:val="22"/>
          <w:szCs w:val="22"/>
          <w:lang w:val="en-US"/>
        </w:rPr>
        <w:tab/>
        <w:t>Ericsson</w:t>
      </w:r>
    </w:p>
    <w:p w14:paraId="2C0E1F81" w14:textId="07B4AE69" w:rsidR="006A678F" w:rsidRPr="008D5609" w:rsidRDefault="006A678F" w:rsidP="006A678F">
      <w:pPr>
        <w:pStyle w:val="3GPPHeader"/>
        <w:rPr>
          <w:sz w:val="22"/>
          <w:szCs w:val="22"/>
          <w:lang w:val="en-US"/>
        </w:rPr>
      </w:pPr>
      <w:r w:rsidRPr="008D5609">
        <w:rPr>
          <w:sz w:val="22"/>
          <w:szCs w:val="22"/>
          <w:lang w:val="en-US"/>
        </w:rPr>
        <w:t>Title:</w:t>
      </w:r>
      <w:r w:rsidRPr="008D5609">
        <w:rPr>
          <w:sz w:val="22"/>
          <w:szCs w:val="22"/>
          <w:lang w:val="en-US"/>
        </w:rPr>
        <w:tab/>
        <w:t>RR</w:t>
      </w:r>
      <w:r w:rsidR="007C113C">
        <w:rPr>
          <w:sz w:val="22"/>
          <w:szCs w:val="22"/>
          <w:lang w:val="en-US"/>
        </w:rPr>
        <w:t>M</w:t>
      </w:r>
      <w:r w:rsidRPr="008D5609">
        <w:rPr>
          <w:sz w:val="22"/>
          <w:szCs w:val="22"/>
          <w:lang w:val="en-US"/>
        </w:rPr>
        <w:t xml:space="preserve"> </w:t>
      </w:r>
      <w:r w:rsidR="003E6008">
        <w:rPr>
          <w:sz w:val="22"/>
          <w:szCs w:val="22"/>
          <w:lang w:val="en-US"/>
        </w:rPr>
        <w:t xml:space="preserve">and related control plane aspects </w:t>
      </w:r>
      <w:r w:rsidR="00F51320">
        <w:rPr>
          <w:sz w:val="22"/>
          <w:szCs w:val="22"/>
          <w:lang w:val="en-US"/>
        </w:rPr>
        <w:t>for</w:t>
      </w:r>
      <w:r>
        <w:rPr>
          <w:sz w:val="22"/>
          <w:szCs w:val="22"/>
          <w:lang w:val="en-US"/>
        </w:rPr>
        <w:t xml:space="preserve"> </w:t>
      </w:r>
      <w:r w:rsidRPr="008D5609">
        <w:rPr>
          <w:sz w:val="22"/>
          <w:szCs w:val="22"/>
          <w:lang w:val="en-US"/>
        </w:rPr>
        <w:t>LTE</w:t>
      </w:r>
      <w:r>
        <w:rPr>
          <w:sz w:val="22"/>
          <w:szCs w:val="22"/>
          <w:lang w:val="en-US"/>
        </w:rPr>
        <w:t>-NR</w:t>
      </w:r>
      <w:r w:rsidRPr="008D5609">
        <w:rPr>
          <w:sz w:val="22"/>
          <w:szCs w:val="22"/>
          <w:lang w:val="en-US"/>
        </w:rPr>
        <w:t xml:space="preserve"> tight-interworking</w:t>
      </w:r>
    </w:p>
    <w:p w14:paraId="34DB5588" w14:textId="77777777" w:rsidR="006A678F" w:rsidRPr="008D5609" w:rsidRDefault="006A678F" w:rsidP="006A678F">
      <w:pPr>
        <w:pStyle w:val="3GPPHeader"/>
        <w:rPr>
          <w:sz w:val="22"/>
          <w:szCs w:val="22"/>
          <w:lang w:val="en-US"/>
        </w:rPr>
      </w:pPr>
      <w:r w:rsidRPr="008D5609">
        <w:rPr>
          <w:sz w:val="22"/>
          <w:szCs w:val="22"/>
          <w:lang w:val="en-US"/>
        </w:rPr>
        <w:t>Document for:</w:t>
      </w:r>
      <w:r w:rsidRPr="008D5609">
        <w:rPr>
          <w:sz w:val="22"/>
          <w:szCs w:val="22"/>
          <w:lang w:val="en-US"/>
        </w:rPr>
        <w:tab/>
      </w:r>
      <w:r w:rsidRPr="00786410">
        <w:rPr>
          <w:sz w:val="22"/>
          <w:szCs w:val="22"/>
          <w:lang w:val="en-US"/>
        </w:rPr>
        <w:t>Discussion, Decision</w:t>
      </w:r>
    </w:p>
    <w:p w14:paraId="5D6D08B0" w14:textId="77777777" w:rsidR="006A678F" w:rsidRPr="008D5609" w:rsidRDefault="006A678F" w:rsidP="006A678F">
      <w:pPr>
        <w:rPr>
          <w:lang w:val="en-US"/>
        </w:rPr>
      </w:pPr>
    </w:p>
    <w:p w14:paraId="3AF33050" w14:textId="77777777" w:rsidR="006A678F" w:rsidRPr="008D5609" w:rsidRDefault="006A678F" w:rsidP="006A678F">
      <w:pPr>
        <w:pStyle w:val="Heading1"/>
        <w:rPr>
          <w:lang w:val="en-US"/>
        </w:rPr>
      </w:pPr>
      <w:bookmarkStart w:id="1" w:name="_Toc462925781"/>
      <w:r w:rsidRPr="008D5609">
        <w:rPr>
          <w:lang w:val="en-US"/>
        </w:rPr>
        <w:t>Introduction</w:t>
      </w:r>
      <w:bookmarkEnd w:id="1"/>
    </w:p>
    <w:p w14:paraId="14DEACA2" w14:textId="7524809F" w:rsidR="00EC7AC5" w:rsidRDefault="00EC7AC5" w:rsidP="006A678F">
      <w:pPr>
        <w:pStyle w:val="BodyText"/>
        <w:rPr>
          <w:lang w:val="en-US"/>
        </w:rPr>
      </w:pPr>
      <w:r>
        <w:rPr>
          <w:lang w:val="en-US"/>
        </w:rPr>
        <w:t xml:space="preserve">In order to have further progress in LTE-NR interworking, it is essential </w:t>
      </w:r>
      <w:r w:rsidR="007C113C">
        <w:rPr>
          <w:lang w:val="en-US"/>
        </w:rPr>
        <w:t>to discuss how</w:t>
      </w:r>
      <w:r>
        <w:rPr>
          <w:lang w:val="en-US"/>
        </w:rPr>
        <w:t xml:space="preserve"> the</w:t>
      </w:r>
      <w:r w:rsidR="007C113C">
        <w:rPr>
          <w:lang w:val="en-US"/>
        </w:rPr>
        <w:t xml:space="preserve"> basic </w:t>
      </w:r>
      <w:r w:rsidR="007C113C" w:rsidRPr="00E04BDB">
        <w:rPr>
          <w:lang w:val="en-US"/>
        </w:rPr>
        <w:t>RR</w:t>
      </w:r>
      <w:r w:rsidR="007C113C">
        <w:rPr>
          <w:lang w:val="en-US"/>
        </w:rPr>
        <w:t>M functions</w:t>
      </w:r>
      <w:r w:rsidR="00F440D7">
        <w:rPr>
          <w:lang w:val="en-US"/>
        </w:rPr>
        <w:t>, such as mobility handling,</w:t>
      </w:r>
      <w:r>
        <w:rPr>
          <w:lang w:val="en-US"/>
        </w:rPr>
        <w:t xml:space="preserve"> need to be distributed</w:t>
      </w:r>
      <w:r w:rsidR="00101D2B">
        <w:rPr>
          <w:lang w:val="en-US"/>
        </w:rPr>
        <w:t xml:space="preserve"> among LTE and NR RRC entities</w:t>
      </w:r>
      <w:r w:rsidR="00F440D7">
        <w:rPr>
          <w:lang w:val="en-US"/>
        </w:rPr>
        <w:t>;</w:t>
      </w:r>
      <w:r>
        <w:rPr>
          <w:lang w:val="en-US"/>
        </w:rPr>
        <w:t xml:space="preserve"> </w:t>
      </w:r>
      <w:r w:rsidR="00F440D7">
        <w:rPr>
          <w:lang w:val="en-US"/>
        </w:rPr>
        <w:t>as well as</w:t>
      </w:r>
      <w:r>
        <w:rPr>
          <w:lang w:val="en-US"/>
        </w:rPr>
        <w:t xml:space="preserve"> how the related control plane signaling</w:t>
      </w:r>
      <w:r w:rsidR="00F440D7">
        <w:rPr>
          <w:lang w:val="en-US"/>
        </w:rPr>
        <w:t>, such as mobility reconfiguration,</w:t>
      </w:r>
      <w:r>
        <w:rPr>
          <w:lang w:val="en-US"/>
        </w:rPr>
        <w:t xml:space="preserve"> should be </w:t>
      </w:r>
      <w:r w:rsidR="00F440D7">
        <w:rPr>
          <w:lang w:val="en-US"/>
        </w:rPr>
        <w:t>exchanged</w:t>
      </w:r>
      <w:r w:rsidR="00101D2B">
        <w:rPr>
          <w:lang w:val="en-US"/>
        </w:rPr>
        <w:t xml:space="preserve"> between master and secondary nodes</w:t>
      </w:r>
      <w:r>
        <w:rPr>
          <w:lang w:val="en-US"/>
        </w:rPr>
        <w:t xml:space="preserve">. </w:t>
      </w:r>
    </w:p>
    <w:p w14:paraId="1A2A23D4" w14:textId="207F4F8E" w:rsidR="006A678F" w:rsidRPr="008D5609" w:rsidRDefault="00EC7AC5" w:rsidP="006A678F">
      <w:pPr>
        <w:pStyle w:val="BodyText"/>
        <w:rPr>
          <w:lang w:val="en-US"/>
        </w:rPr>
      </w:pPr>
      <w:r>
        <w:rPr>
          <w:lang w:val="en-US"/>
        </w:rPr>
        <w:t>I</w:t>
      </w:r>
      <w:r w:rsidR="007C113C">
        <w:rPr>
          <w:lang w:val="en-US"/>
        </w:rPr>
        <w:t>n this contribution</w:t>
      </w:r>
      <w:r>
        <w:rPr>
          <w:lang w:val="en-US"/>
        </w:rPr>
        <w:t>,</w:t>
      </w:r>
      <w:r w:rsidR="007C113C">
        <w:rPr>
          <w:lang w:val="en-US"/>
        </w:rPr>
        <w:t xml:space="preserve"> we will be</w:t>
      </w:r>
      <w:r>
        <w:rPr>
          <w:lang w:val="en-US"/>
        </w:rPr>
        <w:t xml:space="preserve"> first revisiting the RRM</w:t>
      </w:r>
      <w:r w:rsidR="000859D4">
        <w:rPr>
          <w:lang w:val="en-US"/>
        </w:rPr>
        <w:t xml:space="preserve"> architecture </w:t>
      </w:r>
      <w:r w:rsidR="00F440D7">
        <w:rPr>
          <w:lang w:val="en-US"/>
        </w:rPr>
        <w:t xml:space="preserve">and relevant mobility </w:t>
      </w:r>
      <w:r w:rsidR="000859D4">
        <w:rPr>
          <w:lang w:val="en-US"/>
        </w:rPr>
        <w:t>configurations</w:t>
      </w:r>
      <w:r>
        <w:rPr>
          <w:lang w:val="en-US"/>
        </w:rPr>
        <w:t xml:space="preserve"> </w:t>
      </w:r>
      <w:r w:rsidR="006418FE">
        <w:rPr>
          <w:lang w:val="en-US"/>
        </w:rPr>
        <w:t>in case of LTE DC</w:t>
      </w:r>
      <w:r w:rsidR="000859D4">
        <w:rPr>
          <w:lang w:val="en-US"/>
        </w:rPr>
        <w:t>;</w:t>
      </w:r>
      <w:r w:rsidR="006418FE">
        <w:rPr>
          <w:lang w:val="en-US"/>
        </w:rPr>
        <w:t xml:space="preserve"> and then addressing </w:t>
      </w:r>
      <w:r w:rsidR="000859D4">
        <w:rPr>
          <w:lang w:val="en-US"/>
        </w:rPr>
        <w:t xml:space="preserve">the </w:t>
      </w:r>
      <w:r w:rsidR="006418FE">
        <w:rPr>
          <w:lang w:val="en-US"/>
        </w:rPr>
        <w:t xml:space="preserve">potential </w:t>
      </w:r>
      <w:r w:rsidR="000859D4">
        <w:rPr>
          <w:lang w:val="en-US"/>
        </w:rPr>
        <w:t>changes</w:t>
      </w:r>
      <w:r w:rsidR="00101D2B">
        <w:rPr>
          <w:lang w:val="en-US"/>
        </w:rPr>
        <w:t>, with respect to LTE DC,</w:t>
      </w:r>
      <w:r w:rsidR="000859D4">
        <w:rPr>
          <w:lang w:val="en-US"/>
        </w:rPr>
        <w:t xml:space="preserve"> needed in case of LTE-NR interworking</w:t>
      </w:r>
      <w:r w:rsidR="006418FE">
        <w:rPr>
          <w:lang w:val="en-US"/>
        </w:rPr>
        <w:t xml:space="preserve"> </w:t>
      </w:r>
      <w:r w:rsidR="00101D2B">
        <w:rPr>
          <w:lang w:val="en-US"/>
        </w:rPr>
        <w:t xml:space="preserve">together </w:t>
      </w:r>
      <w:r w:rsidR="006418FE">
        <w:rPr>
          <w:lang w:val="en-US"/>
        </w:rPr>
        <w:t>with</w:t>
      </w:r>
      <w:r w:rsidR="000859D4">
        <w:rPr>
          <w:lang w:val="en-US"/>
        </w:rPr>
        <w:t xml:space="preserve"> </w:t>
      </w:r>
      <w:r w:rsidR="00453BA2">
        <w:rPr>
          <w:lang w:val="en-US"/>
        </w:rPr>
        <w:t xml:space="preserve">a set </w:t>
      </w:r>
      <w:r w:rsidR="000859D4">
        <w:rPr>
          <w:lang w:val="en-US"/>
        </w:rPr>
        <w:t>of</w:t>
      </w:r>
      <w:r w:rsidR="006418FE">
        <w:rPr>
          <w:lang w:val="en-US"/>
        </w:rPr>
        <w:t xml:space="preserve"> accompanying proposals.</w:t>
      </w:r>
      <w:r>
        <w:rPr>
          <w:lang w:val="en-US"/>
        </w:rPr>
        <w:t xml:space="preserve"> </w:t>
      </w:r>
    </w:p>
    <w:p w14:paraId="5DAD28BF" w14:textId="77777777" w:rsidR="006A678F" w:rsidRPr="008D5609" w:rsidRDefault="006A678F" w:rsidP="006A678F">
      <w:pPr>
        <w:pStyle w:val="Heading1"/>
        <w:rPr>
          <w:lang w:val="en-US"/>
        </w:rPr>
      </w:pPr>
      <w:bookmarkStart w:id="2" w:name="_Ref178064866"/>
      <w:bookmarkStart w:id="3" w:name="_Toc462925782"/>
      <w:r w:rsidRPr="008D5609">
        <w:rPr>
          <w:lang w:val="en-US"/>
        </w:rPr>
        <w:t>Discussion</w:t>
      </w:r>
      <w:bookmarkEnd w:id="2"/>
      <w:bookmarkEnd w:id="3"/>
    </w:p>
    <w:p w14:paraId="11C47271" w14:textId="3F236CB1" w:rsidR="00F726C6" w:rsidRDefault="000859D4" w:rsidP="006A678F">
      <w:pPr>
        <w:pStyle w:val="BodyText"/>
        <w:rPr>
          <w:lang w:val="en-US"/>
        </w:rPr>
      </w:pPr>
      <w:r>
        <w:rPr>
          <w:lang w:val="en-US"/>
        </w:rPr>
        <w:t xml:space="preserve">In case of LTE-NR interworking, </w:t>
      </w:r>
      <w:r w:rsidRPr="005132EF">
        <w:t>RRM is primarily concerned with the management</w:t>
      </w:r>
      <w:r w:rsidR="00F440D7">
        <w:t xml:space="preserve"> and configuration</w:t>
      </w:r>
      <w:r w:rsidRPr="005132EF">
        <w:t xml:space="preserve"> of radio resources in connection with </w:t>
      </w:r>
      <w:r>
        <w:t>mobility.</w:t>
      </w:r>
      <w:r w:rsidR="00F726C6">
        <w:rPr>
          <w:lang w:val="en-US"/>
        </w:rPr>
        <w:t xml:space="preserve"> </w:t>
      </w:r>
      <w:r w:rsidR="00F440D7">
        <w:rPr>
          <w:lang w:val="en-US"/>
        </w:rPr>
        <w:t>Therefore, we will be also mainly discussing the mobility aspects in this section</w:t>
      </w:r>
      <w:r w:rsidR="00831DDB">
        <w:rPr>
          <w:lang w:val="en-US"/>
        </w:rPr>
        <w:t>, first referring to earlier discussions and specifications on the LTE DC</w:t>
      </w:r>
      <w:r w:rsidR="00F440D7">
        <w:rPr>
          <w:lang w:val="en-US"/>
        </w:rPr>
        <w:t>.</w:t>
      </w:r>
    </w:p>
    <w:p w14:paraId="5C3F75FF" w14:textId="12FC9E6E" w:rsidR="00831DDB" w:rsidRDefault="00831DDB" w:rsidP="00831DDB">
      <w:pPr>
        <w:pStyle w:val="Heading2"/>
        <w:rPr>
          <w:lang w:val="en-US"/>
        </w:rPr>
      </w:pPr>
      <w:r>
        <w:rPr>
          <w:lang w:val="en-US"/>
        </w:rPr>
        <w:t>Secondary node configuration in case of</w:t>
      </w:r>
      <w:r>
        <w:rPr>
          <w:lang w:eastAsia="ja-JP"/>
        </w:rPr>
        <w:t xml:space="preserve"> LTE DC</w:t>
      </w:r>
    </w:p>
    <w:p w14:paraId="36C77822" w14:textId="77777777" w:rsidR="00831DDB" w:rsidRDefault="000859D4" w:rsidP="00453BA2">
      <w:pPr>
        <w:pStyle w:val="BodyText"/>
        <w:rPr>
          <w:lang w:val="en-US"/>
        </w:rPr>
      </w:pPr>
      <w:r>
        <w:rPr>
          <w:lang w:val="en-US"/>
        </w:rPr>
        <w:t xml:space="preserve">In LTE DC, </w:t>
      </w:r>
      <w:r w:rsidR="00F440D7">
        <w:rPr>
          <w:lang w:val="en-US"/>
        </w:rPr>
        <w:t xml:space="preserve">thanks to the mutual </w:t>
      </w:r>
      <w:r w:rsidR="00F440D7" w:rsidRPr="00F440D7">
        <w:rPr>
          <w:lang w:val="en-US"/>
        </w:rPr>
        <w:t>intelligibility</w:t>
      </w:r>
      <w:r w:rsidR="00453BA2">
        <w:rPr>
          <w:lang w:val="en-US"/>
        </w:rPr>
        <w:t xml:space="preserve"> between master and secondary nodes, i.e., MeNB and SeNB, </w:t>
      </w:r>
      <w:r w:rsidR="00F440D7">
        <w:rPr>
          <w:lang w:val="en-US"/>
        </w:rPr>
        <w:t xml:space="preserve">in terms of mobility </w:t>
      </w:r>
      <w:r w:rsidR="00453BA2">
        <w:rPr>
          <w:lang w:val="en-US"/>
        </w:rPr>
        <w:t>procedures</w:t>
      </w:r>
      <w:r w:rsidR="00F440D7">
        <w:rPr>
          <w:lang w:val="en-US"/>
        </w:rPr>
        <w:t xml:space="preserve">, </w:t>
      </w:r>
      <w:r w:rsidR="00453BA2">
        <w:rPr>
          <w:rFonts w:hint="eastAsia"/>
          <w:lang w:eastAsia="ja-JP"/>
        </w:rPr>
        <w:t>MeNB</w:t>
      </w:r>
      <w:r w:rsidR="00453BA2">
        <w:rPr>
          <w:lang w:eastAsia="ja-JP"/>
        </w:rPr>
        <w:t xml:space="preserve"> is able to</w:t>
      </w:r>
      <w:r w:rsidR="00453BA2">
        <w:rPr>
          <w:rFonts w:hint="eastAsia"/>
          <w:lang w:eastAsia="ja-JP"/>
        </w:rPr>
        <w:t xml:space="preserve"> maintain the RRM measurement configuration of the UE</w:t>
      </w:r>
      <w:r w:rsidR="00453BA2">
        <w:rPr>
          <w:lang w:eastAsia="ja-JP"/>
        </w:rPr>
        <w:t>. Furthermore, MeNB</w:t>
      </w:r>
      <w:r w:rsidR="00453BA2">
        <w:rPr>
          <w:rFonts w:hint="eastAsia"/>
          <w:lang w:eastAsia="ja-JP"/>
        </w:rPr>
        <w:t xml:space="preserve"> may</w:t>
      </w:r>
      <w:r w:rsidR="00453BA2">
        <w:rPr>
          <w:lang w:eastAsia="ja-JP"/>
        </w:rPr>
        <w:t xml:space="preserve"> </w:t>
      </w:r>
      <w:r w:rsidR="00453BA2">
        <w:rPr>
          <w:rFonts w:hint="eastAsia"/>
          <w:lang w:eastAsia="ja-JP"/>
        </w:rPr>
        <w:t>decide to ask an SeNB to provide additional resources (serving cells) for a UE</w:t>
      </w:r>
      <w:r w:rsidR="00453BA2">
        <w:rPr>
          <w:lang w:eastAsia="ja-JP"/>
        </w:rPr>
        <w:t xml:space="preserve"> </w:t>
      </w:r>
      <w:r w:rsidR="00453BA2">
        <w:rPr>
          <w:rFonts w:hint="eastAsia"/>
          <w:lang w:eastAsia="ja-JP"/>
        </w:rPr>
        <w:t>e.g.</w:t>
      </w:r>
      <w:r w:rsidR="00453BA2">
        <w:rPr>
          <w:lang w:eastAsia="ja-JP"/>
        </w:rPr>
        <w:t>,</w:t>
      </w:r>
      <w:r w:rsidR="00453BA2">
        <w:rPr>
          <w:rFonts w:hint="eastAsia"/>
          <w:lang w:eastAsia="ja-JP"/>
        </w:rPr>
        <w:t xml:space="preserve"> based on</w:t>
      </w:r>
      <w:r w:rsidR="00453BA2">
        <w:rPr>
          <w:lang w:eastAsia="ja-JP"/>
        </w:rPr>
        <w:t xml:space="preserve"> the</w:t>
      </w:r>
      <w:r w:rsidR="00453BA2">
        <w:rPr>
          <w:rFonts w:hint="eastAsia"/>
          <w:lang w:eastAsia="ja-JP"/>
        </w:rPr>
        <w:t xml:space="preserve"> received measurement reports or traffic conditions or bearer types</w:t>
      </w:r>
      <w:r w:rsidR="00453BA2">
        <w:rPr>
          <w:lang w:eastAsia="ja-JP"/>
        </w:rPr>
        <w:t xml:space="preserve"> </w:t>
      </w:r>
      <w:r w:rsidR="00453BA2">
        <w:rPr>
          <w:lang w:eastAsia="ja-JP"/>
        </w:rPr>
        <w:fldChar w:fldCharType="begin"/>
      </w:r>
      <w:r w:rsidR="00453BA2">
        <w:rPr>
          <w:lang w:eastAsia="ja-JP"/>
        </w:rPr>
        <w:instrText xml:space="preserve"> REF _Ref462960225 \n \h </w:instrText>
      </w:r>
      <w:r w:rsidR="00453BA2">
        <w:rPr>
          <w:lang w:eastAsia="ja-JP"/>
        </w:rPr>
      </w:r>
      <w:r w:rsidR="00453BA2">
        <w:rPr>
          <w:lang w:eastAsia="ja-JP"/>
        </w:rPr>
        <w:fldChar w:fldCharType="separate"/>
      </w:r>
      <w:r w:rsidR="00453BA2">
        <w:rPr>
          <w:lang w:eastAsia="ja-JP"/>
        </w:rPr>
        <w:t>[2]</w:t>
      </w:r>
      <w:r w:rsidR="00453BA2">
        <w:rPr>
          <w:lang w:eastAsia="ja-JP"/>
        </w:rPr>
        <w:fldChar w:fldCharType="end"/>
      </w:r>
      <w:r w:rsidR="00101D2B">
        <w:rPr>
          <w:lang w:eastAsia="ja-JP"/>
        </w:rPr>
        <w:t xml:space="preserve"> as it is straightforward the interpret those by the RRC entity located at the master node</w:t>
      </w:r>
      <w:r w:rsidR="00453BA2">
        <w:rPr>
          <w:rFonts w:hint="eastAsia"/>
          <w:lang w:eastAsia="ja-JP"/>
        </w:rPr>
        <w:t>.</w:t>
      </w:r>
      <w:r w:rsidR="00453BA2">
        <w:rPr>
          <w:lang w:eastAsia="ja-JP"/>
        </w:rPr>
        <w:t xml:space="preserve"> Therefore, </w:t>
      </w:r>
      <w:r w:rsidR="00CD1DED">
        <w:rPr>
          <w:lang w:val="en-US"/>
        </w:rPr>
        <w:t xml:space="preserve">the mobility can mainly be </w:t>
      </w:r>
      <w:r w:rsidR="00453BA2">
        <w:rPr>
          <w:lang w:val="en-US"/>
        </w:rPr>
        <w:t>coordinated</w:t>
      </w:r>
      <w:r w:rsidR="00CD1DED">
        <w:rPr>
          <w:lang w:val="en-US"/>
        </w:rPr>
        <w:t xml:space="preserve"> by the MeNB</w:t>
      </w:r>
      <w:r w:rsidR="00453BA2">
        <w:rPr>
          <w:lang w:val="en-US"/>
        </w:rPr>
        <w:t xml:space="preserve"> in case of LTE DC.</w:t>
      </w:r>
      <w:r w:rsidR="00CD1DED">
        <w:rPr>
          <w:lang w:val="en-US"/>
        </w:rPr>
        <w:t xml:space="preserve"> </w:t>
      </w:r>
    </w:p>
    <w:p w14:paraId="76999DF9" w14:textId="4296F033" w:rsidR="00831DDB" w:rsidRDefault="00831DDB" w:rsidP="00831DDB">
      <w:pPr>
        <w:pStyle w:val="Heading3"/>
        <w:rPr>
          <w:lang w:eastAsia="ja-JP"/>
        </w:rPr>
      </w:pPr>
      <w:r w:rsidRPr="005132EF">
        <w:t>SeNB Addition procedure</w:t>
      </w:r>
      <w:r>
        <w:t xml:space="preserve"> in case of LTE DC</w:t>
      </w:r>
    </w:p>
    <w:p w14:paraId="3629829D" w14:textId="50A54A96" w:rsidR="00831DDB" w:rsidRPr="005132EF" w:rsidRDefault="009C5523" w:rsidP="00831DDB">
      <w:pPr>
        <w:rPr>
          <w:lang w:eastAsia="ja-JP"/>
        </w:rPr>
      </w:pPr>
      <w:r>
        <w:rPr>
          <w:lang w:eastAsia="ja-JP"/>
        </w:rPr>
        <w:t>As illustrated in Figure 1</w:t>
      </w:r>
      <w:r w:rsidRPr="009C5523">
        <w:rPr>
          <w:lang w:val="en-US"/>
        </w:rPr>
        <w:t xml:space="preserve"> </w:t>
      </w:r>
      <w:r>
        <w:rPr>
          <w:lang w:val="en-US"/>
        </w:rPr>
        <w:t xml:space="preserve">based 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_Ref462960254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eastAsia="ja-JP"/>
        </w:rPr>
        <w:t>, t</w:t>
      </w:r>
      <w:r w:rsidR="00831DDB" w:rsidRPr="005132EF">
        <w:rPr>
          <w:lang w:eastAsia="ja-JP"/>
        </w:rPr>
        <w:t xml:space="preserve">he SeNB Addition procedure is initiated by the MeNB and used to establish a UE context at the SeNB in order to provide radio resources from the SeNB to the UE. </w:t>
      </w:r>
      <w:r w:rsidR="00831DDB" w:rsidRPr="005132EF">
        <w:rPr>
          <w:rFonts w:hint="eastAsia"/>
          <w:lang w:eastAsia="ja-JP"/>
        </w:rPr>
        <w:t>This procedure is used to add at least the</w:t>
      </w:r>
      <w:r>
        <w:rPr>
          <w:rFonts w:hint="eastAsia"/>
          <w:lang w:eastAsia="ja-JP"/>
        </w:rPr>
        <w:t xml:space="preserve"> first cell</w:t>
      </w:r>
      <w:r>
        <w:rPr>
          <w:lang w:eastAsia="ja-JP"/>
        </w:rPr>
        <w:t>, i.e.,</w:t>
      </w:r>
      <w:r>
        <w:rPr>
          <w:rFonts w:hint="eastAsia"/>
          <w:lang w:eastAsia="ja-JP"/>
        </w:rPr>
        <w:t xml:space="preserve"> PSCell of the SCG</w:t>
      </w:r>
      <w:r>
        <w:rPr>
          <w:lang w:eastAsia="ja-JP"/>
        </w:rPr>
        <w:t xml:space="preserve"> in case of LTE DC</w:t>
      </w:r>
      <w:r w:rsidR="00831DDB" w:rsidRPr="005132EF">
        <w:rPr>
          <w:lang w:eastAsia="ja-JP"/>
        </w:rPr>
        <w:t>.</w:t>
      </w:r>
    </w:p>
    <w:p w14:paraId="058B85AB" w14:textId="77777777" w:rsidR="009C5523" w:rsidRDefault="009C5523" w:rsidP="00831DDB">
      <w:pPr>
        <w:pStyle w:val="TH"/>
      </w:pPr>
    </w:p>
    <w:p w14:paraId="7184A476" w14:textId="20FEA41E" w:rsidR="00831DDB" w:rsidRPr="005132EF" w:rsidRDefault="00CF37DF" w:rsidP="00831DDB">
      <w:pPr>
        <w:pStyle w:val="TH"/>
      </w:pPr>
      <w:r>
        <w:object w:dxaOrig="6036" w:dyaOrig="3708" w14:anchorId="0DC386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5pt;height:185.25pt" o:ole="">
            <v:imagedata r:id="rId8" o:title=""/>
          </v:shape>
          <o:OLEObject Type="Embed" ProgID="Visio.Drawing.15" ShapeID="_x0000_i1025" DrawAspect="Content" ObjectID="_1536783125" r:id="rId9"/>
        </w:object>
      </w:r>
    </w:p>
    <w:p w14:paraId="08A6447F" w14:textId="34EE5644" w:rsidR="00831DDB" w:rsidRPr="005132EF" w:rsidRDefault="00831DDB" w:rsidP="00831DDB">
      <w:pPr>
        <w:pStyle w:val="TF"/>
      </w:pPr>
      <w:r w:rsidRPr="005132EF">
        <w:t xml:space="preserve">Figure </w:t>
      </w:r>
      <w:r>
        <w:t>1:</w:t>
      </w:r>
      <w:r w:rsidRPr="005132EF">
        <w:t xml:space="preserve"> SeNB Addition procedure</w:t>
      </w:r>
      <w:r>
        <w:t xml:space="preserve"> in case of LTE DC</w:t>
      </w:r>
    </w:p>
    <w:p w14:paraId="4BF466CC" w14:textId="5DE2B926" w:rsidR="00497AD0" w:rsidRDefault="00497AD0" w:rsidP="00497AD0">
      <w:pPr>
        <w:pStyle w:val="Heading3"/>
        <w:rPr>
          <w:lang w:eastAsia="ja-JP"/>
        </w:rPr>
      </w:pPr>
      <w:r w:rsidRPr="005132EF">
        <w:t xml:space="preserve">SeNB </w:t>
      </w:r>
      <w:r>
        <w:t>Release</w:t>
      </w:r>
      <w:r w:rsidRPr="005132EF">
        <w:t xml:space="preserve"> procedure</w:t>
      </w:r>
      <w:r>
        <w:t xml:space="preserve"> in case of LTE DC</w:t>
      </w:r>
    </w:p>
    <w:p w14:paraId="2CBF9B39" w14:textId="772BD700" w:rsidR="00831DDB" w:rsidRDefault="009C5523" w:rsidP="00831DDB">
      <w:pPr>
        <w:rPr>
          <w:lang w:eastAsia="ja-JP"/>
        </w:rPr>
      </w:pPr>
      <w:r>
        <w:rPr>
          <w:lang w:eastAsia="ja-JP"/>
        </w:rPr>
        <w:t>As illustrated in Figures 2 and 3</w:t>
      </w:r>
      <w:r w:rsidRPr="009C5523">
        <w:rPr>
          <w:lang w:val="en-US"/>
        </w:rPr>
        <w:t xml:space="preserve"> </w:t>
      </w:r>
      <w:r>
        <w:rPr>
          <w:lang w:val="en-US"/>
        </w:rPr>
        <w:t xml:space="preserve">based 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_Ref462960254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eastAsia="ja-JP"/>
        </w:rPr>
        <w:t>, t</w:t>
      </w:r>
      <w:r w:rsidR="00831DDB" w:rsidRPr="005132EF">
        <w:rPr>
          <w:lang w:eastAsia="ja-JP"/>
        </w:rPr>
        <w:t xml:space="preserve">he SeNB Release procedure may be initiated </w:t>
      </w:r>
      <w:r w:rsidR="00831DDB" w:rsidRPr="005132EF">
        <w:rPr>
          <w:rFonts w:hint="eastAsia"/>
          <w:lang w:eastAsia="ja-JP"/>
        </w:rPr>
        <w:t xml:space="preserve">either </w:t>
      </w:r>
      <w:r w:rsidR="00831DDB" w:rsidRPr="005132EF">
        <w:rPr>
          <w:lang w:eastAsia="ja-JP"/>
        </w:rPr>
        <w:t>by the MeNB or by the SeNB</w:t>
      </w:r>
      <w:r w:rsidR="00831DDB" w:rsidRPr="005132EF">
        <w:rPr>
          <w:rFonts w:hint="eastAsia"/>
          <w:lang w:eastAsia="ja-JP"/>
        </w:rPr>
        <w:t xml:space="preserve"> </w:t>
      </w:r>
      <w:r w:rsidR="00831DDB" w:rsidRPr="005132EF">
        <w:rPr>
          <w:lang w:eastAsia="ja-JP"/>
        </w:rPr>
        <w:t>a</w:t>
      </w:r>
      <w:r w:rsidR="00831DDB" w:rsidRPr="005132EF">
        <w:rPr>
          <w:rFonts w:hint="eastAsia"/>
          <w:lang w:eastAsia="ja-JP"/>
        </w:rPr>
        <w:t xml:space="preserve">nd </w:t>
      </w:r>
      <w:r>
        <w:rPr>
          <w:lang w:eastAsia="ja-JP"/>
        </w:rPr>
        <w:t xml:space="preserve">is </w:t>
      </w:r>
      <w:r w:rsidR="00831DDB" w:rsidRPr="005132EF">
        <w:rPr>
          <w:lang w:eastAsia="ja-JP"/>
        </w:rPr>
        <w:t xml:space="preserve">used to </w:t>
      </w:r>
      <w:r w:rsidR="00831DDB" w:rsidRPr="005132EF">
        <w:rPr>
          <w:rFonts w:hint="eastAsia"/>
          <w:lang w:eastAsia="ja-JP"/>
        </w:rPr>
        <w:t xml:space="preserve">initiate the </w:t>
      </w:r>
      <w:r w:rsidR="00831DDB" w:rsidRPr="005132EF">
        <w:rPr>
          <w:lang w:eastAsia="ja-JP"/>
        </w:rPr>
        <w:t xml:space="preserve">release </w:t>
      </w:r>
      <w:r w:rsidR="00831DDB" w:rsidRPr="005132EF">
        <w:rPr>
          <w:rFonts w:hint="eastAsia"/>
          <w:lang w:eastAsia="ja-JP"/>
        </w:rPr>
        <w:t xml:space="preserve">of </w:t>
      </w:r>
      <w:r w:rsidR="00831DDB" w:rsidRPr="005132EF">
        <w:rPr>
          <w:lang w:eastAsia="ja-JP"/>
        </w:rPr>
        <w:t>the UE context at the SeNB.</w:t>
      </w:r>
      <w:r w:rsidR="00831DDB" w:rsidRPr="005132EF">
        <w:rPr>
          <w:rFonts w:hint="eastAsia"/>
          <w:lang w:eastAsia="ja-JP"/>
        </w:rPr>
        <w:t xml:space="preserve"> </w:t>
      </w:r>
      <w:r w:rsidR="00831DDB" w:rsidRPr="005132EF">
        <w:rPr>
          <w:lang w:eastAsia="ja-JP"/>
        </w:rPr>
        <w:t>T</w:t>
      </w:r>
      <w:r w:rsidR="00831DDB" w:rsidRPr="005132EF">
        <w:rPr>
          <w:rFonts w:hint="eastAsia"/>
          <w:lang w:eastAsia="ja-JP"/>
        </w:rPr>
        <w:t xml:space="preserve">he recipient node of this request </w:t>
      </w:r>
      <w:r w:rsidR="00831DDB" w:rsidRPr="005132EF">
        <w:rPr>
          <w:lang w:eastAsia="ja-JP"/>
        </w:rPr>
        <w:t>cannot</w:t>
      </w:r>
      <w:r w:rsidR="00831DDB" w:rsidRPr="005132EF">
        <w:rPr>
          <w:rFonts w:hint="eastAsia"/>
          <w:lang w:eastAsia="ja-JP"/>
        </w:rPr>
        <w:t xml:space="preserve"> reject</w:t>
      </w:r>
      <w:r w:rsidR="00831DDB" w:rsidRPr="005132EF">
        <w:rPr>
          <w:lang w:eastAsia="ja-JP"/>
        </w:rPr>
        <w:t>.</w:t>
      </w:r>
      <w:r w:rsidR="0095655A">
        <w:rPr>
          <w:lang w:eastAsia="ja-JP"/>
        </w:rPr>
        <w:t xml:space="preserve"> </w:t>
      </w:r>
      <w:r w:rsidR="00831DDB" w:rsidRPr="005132EF">
        <w:rPr>
          <w:lang w:eastAsia="ja-JP"/>
        </w:rPr>
        <w:t>It does not necessarily need to involve signa</w:t>
      </w:r>
      <w:r w:rsidR="00831DDB">
        <w:rPr>
          <w:lang w:eastAsia="ja-JP"/>
        </w:rPr>
        <w:t>l</w:t>
      </w:r>
      <w:r w:rsidR="00831DDB" w:rsidRPr="005132EF">
        <w:rPr>
          <w:lang w:eastAsia="ja-JP"/>
        </w:rPr>
        <w:t>ling towards the UE</w:t>
      </w:r>
      <w:r w:rsidR="00831DDB" w:rsidRPr="005132EF">
        <w:rPr>
          <w:rFonts w:hint="eastAsia"/>
          <w:lang w:eastAsia="ja-JP"/>
        </w:rPr>
        <w:t>, e.g., RRC connection re-establishment due to Radio Link Failure in MeNB</w:t>
      </w:r>
      <w:r w:rsidR="00831DDB" w:rsidRPr="005132EF">
        <w:rPr>
          <w:lang w:eastAsia="ja-JP"/>
        </w:rPr>
        <w:t>.</w:t>
      </w:r>
    </w:p>
    <w:p w14:paraId="6D782768" w14:textId="77777777" w:rsidR="009C5523" w:rsidRPr="005132EF" w:rsidRDefault="009C5523" w:rsidP="00831DDB">
      <w:pPr>
        <w:rPr>
          <w:lang w:eastAsia="ja-JP"/>
        </w:rPr>
      </w:pPr>
    </w:p>
    <w:p w14:paraId="58999652" w14:textId="7AF6748D" w:rsidR="00831DDB" w:rsidRPr="005132EF" w:rsidRDefault="009C5523" w:rsidP="00831DDB">
      <w:pPr>
        <w:pStyle w:val="TH"/>
      </w:pPr>
      <w:r>
        <w:object w:dxaOrig="5700" w:dyaOrig="2556" w14:anchorId="7BEE2B0C">
          <v:shape id="_x0000_i1026" type="#_x0000_t75" style="width:285pt;height:127.5pt" o:ole="">
            <v:imagedata r:id="rId10" o:title=""/>
          </v:shape>
          <o:OLEObject Type="Embed" ProgID="Visio.Drawing.15" ShapeID="_x0000_i1026" DrawAspect="Content" ObjectID="_1536783126" r:id="rId11"/>
        </w:object>
      </w:r>
    </w:p>
    <w:p w14:paraId="17289D36" w14:textId="5E7EEBA2" w:rsidR="00831DDB" w:rsidRDefault="00831DDB" w:rsidP="00831DDB">
      <w:pPr>
        <w:pStyle w:val="TF"/>
        <w:rPr>
          <w:lang w:eastAsia="ja-JP"/>
        </w:rPr>
      </w:pPr>
      <w:r w:rsidRPr="005132EF">
        <w:rPr>
          <w:lang w:eastAsia="ja-JP"/>
        </w:rPr>
        <w:t xml:space="preserve">Figure </w:t>
      </w:r>
      <w:r w:rsidR="009C5523">
        <w:rPr>
          <w:lang w:eastAsia="ja-JP"/>
        </w:rPr>
        <w:t>2</w:t>
      </w:r>
      <w:r w:rsidRPr="005132EF">
        <w:rPr>
          <w:lang w:eastAsia="ja-JP"/>
        </w:rPr>
        <w:t>: SeNB Release procedure</w:t>
      </w:r>
      <w:r w:rsidR="009C5523">
        <w:rPr>
          <w:lang w:eastAsia="ja-JP"/>
        </w:rPr>
        <w:t xml:space="preserve"> </w:t>
      </w:r>
      <w:r w:rsidR="009C5523">
        <w:t>in case of LTE DC</w:t>
      </w:r>
      <w:r w:rsidRPr="005132EF">
        <w:rPr>
          <w:lang w:eastAsia="ja-JP"/>
        </w:rPr>
        <w:t xml:space="preserve"> – MeNB initiated</w:t>
      </w:r>
    </w:p>
    <w:p w14:paraId="462299C4" w14:textId="77777777" w:rsidR="009C5523" w:rsidRDefault="009C5523" w:rsidP="00831DDB">
      <w:pPr>
        <w:pStyle w:val="TF"/>
        <w:rPr>
          <w:lang w:eastAsia="ja-JP"/>
        </w:rPr>
      </w:pPr>
    </w:p>
    <w:p w14:paraId="2DC5B929" w14:textId="75AA674D" w:rsidR="00497AD0" w:rsidRPr="005132EF" w:rsidRDefault="009C5523" w:rsidP="00497AD0">
      <w:pPr>
        <w:pStyle w:val="TH"/>
      </w:pPr>
      <w:r>
        <w:object w:dxaOrig="5700" w:dyaOrig="2964" w14:anchorId="250CC33B">
          <v:shape id="_x0000_i1027" type="#_x0000_t75" style="width:285pt;height:148.5pt" o:ole="">
            <v:imagedata r:id="rId12" o:title=""/>
          </v:shape>
          <o:OLEObject Type="Embed" ProgID="Visio.Drawing.15" ShapeID="_x0000_i1027" DrawAspect="Content" ObjectID="_1536783127" r:id="rId13"/>
        </w:object>
      </w:r>
    </w:p>
    <w:p w14:paraId="155D3157" w14:textId="4965BB02" w:rsidR="00497AD0" w:rsidRPr="005132EF" w:rsidRDefault="00497AD0" w:rsidP="00497AD0">
      <w:pPr>
        <w:pStyle w:val="TF"/>
        <w:rPr>
          <w:lang w:eastAsia="ja-JP"/>
        </w:rPr>
      </w:pPr>
      <w:r w:rsidRPr="005132EF">
        <w:rPr>
          <w:lang w:eastAsia="ja-JP"/>
        </w:rPr>
        <w:t xml:space="preserve">Figure </w:t>
      </w:r>
      <w:r w:rsidR="009C5523">
        <w:rPr>
          <w:lang w:eastAsia="ja-JP"/>
        </w:rPr>
        <w:t>3</w:t>
      </w:r>
      <w:r w:rsidRPr="005132EF">
        <w:rPr>
          <w:lang w:eastAsia="ja-JP"/>
        </w:rPr>
        <w:t>: SeNB Release procedure</w:t>
      </w:r>
      <w:r w:rsidR="009C5523">
        <w:rPr>
          <w:lang w:eastAsia="ja-JP"/>
        </w:rPr>
        <w:t xml:space="preserve"> </w:t>
      </w:r>
      <w:r w:rsidR="009C5523">
        <w:t>in case of LTE DC</w:t>
      </w:r>
      <w:r w:rsidRPr="005132EF">
        <w:rPr>
          <w:lang w:eastAsia="ja-JP"/>
        </w:rPr>
        <w:t xml:space="preserve"> – SeNB initiated</w:t>
      </w:r>
    </w:p>
    <w:p w14:paraId="56682169" w14:textId="69C04E13" w:rsidR="00831DDB" w:rsidRDefault="00831DDB" w:rsidP="00831DDB">
      <w:pPr>
        <w:pStyle w:val="Heading3"/>
        <w:rPr>
          <w:lang w:eastAsia="ja-JP"/>
        </w:rPr>
      </w:pPr>
      <w:r w:rsidRPr="005132EF">
        <w:lastRenderedPageBreak/>
        <w:t xml:space="preserve">SeNB </w:t>
      </w:r>
      <w:r>
        <w:t>Change</w:t>
      </w:r>
      <w:r w:rsidRPr="005132EF">
        <w:t xml:space="preserve"> procedure</w:t>
      </w:r>
      <w:r>
        <w:t xml:space="preserve"> in case of LTE DC</w:t>
      </w:r>
    </w:p>
    <w:p w14:paraId="7E62CD69" w14:textId="28090CEA" w:rsidR="00453BA2" w:rsidRPr="005132EF" w:rsidRDefault="00453BA2" w:rsidP="00453BA2">
      <w:pPr>
        <w:pStyle w:val="BodyText"/>
        <w:rPr>
          <w:lang w:eastAsia="ja-JP"/>
        </w:rPr>
      </w:pPr>
      <w:r>
        <w:rPr>
          <w:lang w:val="en-US"/>
        </w:rPr>
        <w:t>A</w:t>
      </w:r>
      <w:r w:rsidR="00CD1DED">
        <w:rPr>
          <w:lang w:val="en-US"/>
        </w:rPr>
        <w:t xml:space="preserve">s illustrated in Figure </w:t>
      </w:r>
      <w:r w:rsidR="009C5523">
        <w:rPr>
          <w:lang w:val="en-US"/>
        </w:rPr>
        <w:t>4</w:t>
      </w:r>
      <w:r w:rsidR="00831DDB">
        <w:rPr>
          <w:lang w:val="en-US"/>
        </w:rPr>
        <w:t xml:space="preserve"> based on</w:t>
      </w:r>
      <w:r w:rsidR="00CD1DED">
        <w:rPr>
          <w:lang w:val="en-US"/>
        </w:rPr>
        <w:t xml:space="preserve"> </w:t>
      </w:r>
      <w:r w:rsidR="00CD1DED">
        <w:rPr>
          <w:lang w:val="en-US"/>
        </w:rPr>
        <w:fldChar w:fldCharType="begin"/>
      </w:r>
      <w:r w:rsidR="00CD1DED">
        <w:rPr>
          <w:lang w:val="en-US"/>
        </w:rPr>
        <w:instrText xml:space="preserve"> REF _Ref462960254 \n \h </w:instrText>
      </w:r>
      <w:r w:rsidR="00CD1DED">
        <w:rPr>
          <w:lang w:val="en-US"/>
        </w:rPr>
      </w:r>
      <w:r w:rsidR="00CD1DED">
        <w:rPr>
          <w:lang w:val="en-US"/>
        </w:rPr>
        <w:fldChar w:fldCharType="separate"/>
      </w:r>
      <w:r w:rsidR="00CD1DED">
        <w:rPr>
          <w:lang w:val="en-US"/>
        </w:rPr>
        <w:t>[1]</w:t>
      </w:r>
      <w:r w:rsidR="00CD1DED">
        <w:rPr>
          <w:lang w:val="en-US"/>
        </w:rPr>
        <w:fldChar w:fldCharType="end"/>
      </w:r>
      <w:r>
        <w:rPr>
          <w:lang w:val="en-US"/>
        </w:rPr>
        <w:t xml:space="preserve">, </w:t>
      </w:r>
      <w:r>
        <w:rPr>
          <w:lang w:eastAsia="ja-JP"/>
        </w:rPr>
        <w:t>t</w:t>
      </w:r>
      <w:r w:rsidRPr="005132EF">
        <w:rPr>
          <w:lang w:eastAsia="ja-JP"/>
        </w:rPr>
        <w:t xml:space="preserve">he SeNB </w:t>
      </w:r>
      <w:r w:rsidR="00652660">
        <w:rPr>
          <w:lang w:eastAsia="ja-JP"/>
        </w:rPr>
        <w:t xml:space="preserve">change </w:t>
      </w:r>
      <w:r w:rsidRPr="005132EF">
        <w:rPr>
          <w:lang w:eastAsia="ja-JP"/>
        </w:rPr>
        <w:t xml:space="preserve">procedure </w:t>
      </w:r>
      <w:r>
        <w:rPr>
          <w:rFonts w:hint="eastAsia"/>
          <w:lang w:eastAsia="ja-JP"/>
        </w:rPr>
        <w:t>can be</w:t>
      </w:r>
      <w:r w:rsidRPr="005132EF">
        <w:rPr>
          <w:rFonts w:hint="eastAsia"/>
          <w:lang w:eastAsia="ja-JP"/>
        </w:rPr>
        <w:t xml:space="preserve"> in</w:t>
      </w:r>
      <w:r w:rsidRPr="005132EF">
        <w:rPr>
          <w:lang w:eastAsia="ja-JP"/>
        </w:rPr>
        <w:t>i</w:t>
      </w:r>
      <w:r w:rsidRPr="005132EF">
        <w:rPr>
          <w:rFonts w:hint="eastAsia"/>
          <w:lang w:eastAsia="ja-JP"/>
        </w:rPr>
        <w:t>tiated by MeNB</w:t>
      </w:r>
      <w:r w:rsidR="00101D2B">
        <w:rPr>
          <w:lang w:eastAsia="ja-JP"/>
        </w:rPr>
        <w:t xml:space="preserve">; and </w:t>
      </w:r>
      <w:r w:rsidRPr="005132EF">
        <w:rPr>
          <w:rFonts w:hint="eastAsia"/>
          <w:lang w:eastAsia="ja-JP"/>
        </w:rPr>
        <w:t>used</w:t>
      </w:r>
      <w:r w:rsidRPr="005132EF">
        <w:rPr>
          <w:lang w:eastAsia="ja-JP"/>
        </w:rPr>
        <w:t xml:space="preserve"> </w:t>
      </w:r>
      <w:r w:rsidR="00101D2B">
        <w:rPr>
          <w:lang w:eastAsia="ja-JP"/>
        </w:rPr>
        <w:t>to</w:t>
      </w:r>
      <w:r w:rsidRPr="005132EF">
        <w:rPr>
          <w:lang w:eastAsia="ja-JP"/>
        </w:rPr>
        <w:t xml:space="preserve"> </w:t>
      </w:r>
      <w:r w:rsidR="00101D2B" w:rsidRPr="005132EF">
        <w:rPr>
          <w:lang w:eastAsia="ja-JP"/>
        </w:rPr>
        <w:t>transfer</w:t>
      </w:r>
      <w:r w:rsidRPr="005132EF">
        <w:rPr>
          <w:lang w:eastAsia="ja-JP"/>
        </w:rPr>
        <w:t xml:space="preserve"> </w:t>
      </w:r>
      <w:r w:rsidR="00170B44">
        <w:rPr>
          <w:lang w:eastAsia="ja-JP"/>
        </w:rPr>
        <w:t>the</w:t>
      </w:r>
      <w:r w:rsidRPr="005132EF">
        <w:rPr>
          <w:lang w:eastAsia="ja-JP"/>
        </w:rPr>
        <w:t xml:space="preserve"> UE context from a source SeNB to a target SeNB</w:t>
      </w:r>
      <w:r w:rsidRPr="005132EF">
        <w:rPr>
          <w:rFonts w:hint="eastAsia"/>
          <w:lang w:eastAsia="ja-JP"/>
        </w:rPr>
        <w:t xml:space="preserve"> and </w:t>
      </w:r>
      <w:r w:rsidR="00101D2B">
        <w:rPr>
          <w:lang w:eastAsia="ja-JP"/>
        </w:rPr>
        <w:t>to</w:t>
      </w:r>
      <w:r w:rsidRPr="005132EF">
        <w:rPr>
          <w:rFonts w:hint="eastAsia"/>
          <w:lang w:eastAsia="ja-JP"/>
        </w:rPr>
        <w:t xml:space="preserve"> chang</w:t>
      </w:r>
      <w:r w:rsidR="00101D2B">
        <w:rPr>
          <w:lang w:eastAsia="ja-JP"/>
        </w:rPr>
        <w:t>e</w:t>
      </w:r>
      <w:r w:rsidRPr="005132EF">
        <w:rPr>
          <w:rFonts w:hint="eastAsia"/>
          <w:lang w:eastAsia="ja-JP"/>
        </w:rPr>
        <w:t xml:space="preserve"> the SCG configuration in </w:t>
      </w:r>
      <w:r w:rsidR="00170B44">
        <w:rPr>
          <w:lang w:eastAsia="ja-JP"/>
        </w:rPr>
        <w:t xml:space="preserve">the </w:t>
      </w:r>
      <w:r w:rsidRPr="005132EF">
        <w:rPr>
          <w:rFonts w:hint="eastAsia"/>
          <w:lang w:eastAsia="ja-JP"/>
        </w:rPr>
        <w:t>UE from one SeNB to another</w:t>
      </w:r>
      <w:r w:rsidR="00170B44">
        <w:rPr>
          <w:lang w:eastAsia="ja-JP"/>
        </w:rPr>
        <w:t xml:space="preserve"> SeNB</w:t>
      </w:r>
      <w:r w:rsidRPr="005132EF">
        <w:rPr>
          <w:lang w:eastAsia="ja-JP"/>
        </w:rPr>
        <w:t>.</w:t>
      </w:r>
    </w:p>
    <w:p w14:paraId="0B8771AE" w14:textId="77777777" w:rsidR="00453BA2" w:rsidRPr="005132EF" w:rsidRDefault="00453BA2" w:rsidP="00453BA2">
      <w:pPr>
        <w:pStyle w:val="TH"/>
        <w:rPr>
          <w:lang w:eastAsia="ja-JP"/>
        </w:rPr>
      </w:pPr>
    </w:p>
    <w:p w14:paraId="6620DC60" w14:textId="00730A63" w:rsidR="00453BA2" w:rsidRPr="005132EF" w:rsidRDefault="0041104E" w:rsidP="00453BA2">
      <w:pPr>
        <w:pStyle w:val="TH"/>
        <w:rPr>
          <w:lang w:eastAsia="ja-JP"/>
        </w:rPr>
      </w:pPr>
      <w:r>
        <w:object w:dxaOrig="7968" w:dyaOrig="5016" w14:anchorId="09439335">
          <v:shape id="_x0000_i1028" type="#_x0000_t75" style="width:397.5pt;height:250.5pt" o:ole="">
            <v:imagedata r:id="rId14" o:title=""/>
          </v:shape>
          <o:OLEObject Type="Embed" ProgID="Visio.Drawing.15" ShapeID="_x0000_i1028" DrawAspect="Content" ObjectID="_1536783128" r:id="rId15"/>
        </w:object>
      </w:r>
    </w:p>
    <w:p w14:paraId="15B3499C" w14:textId="3FA4C48F" w:rsidR="00453BA2" w:rsidRPr="005132EF" w:rsidRDefault="00C241A9" w:rsidP="00453BA2">
      <w:pPr>
        <w:pStyle w:val="TF"/>
        <w:rPr>
          <w:lang w:eastAsia="ja-JP"/>
        </w:rPr>
      </w:pPr>
      <w:r>
        <w:rPr>
          <w:lang w:eastAsia="ja-JP"/>
        </w:rPr>
        <w:t>Figure 4</w:t>
      </w:r>
      <w:r w:rsidR="00831DDB">
        <w:rPr>
          <w:lang w:eastAsia="ja-JP"/>
        </w:rPr>
        <w:t>:</w:t>
      </w:r>
      <w:r w:rsidR="00453BA2" w:rsidRPr="005132EF">
        <w:rPr>
          <w:lang w:eastAsia="ja-JP"/>
        </w:rPr>
        <w:t xml:space="preserve"> Change of SeNB</w:t>
      </w:r>
      <w:r w:rsidR="00453BA2">
        <w:rPr>
          <w:lang w:eastAsia="ja-JP"/>
        </w:rPr>
        <w:t xml:space="preserve"> in case of LTE DC</w:t>
      </w:r>
    </w:p>
    <w:p w14:paraId="57FD8FF9" w14:textId="15F8C278" w:rsidR="00831DDB" w:rsidRDefault="00831DDB" w:rsidP="00831DDB">
      <w:pPr>
        <w:pStyle w:val="Heading2"/>
        <w:rPr>
          <w:lang w:val="en-US"/>
        </w:rPr>
      </w:pPr>
      <w:r>
        <w:rPr>
          <w:lang w:val="en-US"/>
        </w:rPr>
        <w:t>Secondary node configuration in case of</w:t>
      </w:r>
      <w:r>
        <w:rPr>
          <w:lang w:eastAsia="ja-JP"/>
        </w:rPr>
        <w:t xml:space="preserve"> LTE-NR interworking</w:t>
      </w:r>
    </w:p>
    <w:p w14:paraId="0F66E173" w14:textId="79A369CB" w:rsidR="005960AE" w:rsidRDefault="006632E2" w:rsidP="005960AE">
      <w:pPr>
        <w:pStyle w:val="BodyText"/>
        <w:rPr>
          <w:lang w:val="en-US"/>
        </w:rPr>
      </w:pPr>
      <w:r>
        <w:t>NR</w:t>
      </w:r>
      <w:r w:rsidR="00453BA2">
        <w:rPr>
          <w:lang w:val="en-US"/>
        </w:rPr>
        <w:t xml:space="preserve"> </w:t>
      </w:r>
      <w:r>
        <w:rPr>
          <w:lang w:val="en-US"/>
        </w:rPr>
        <w:t>RRM is expected to be different than LTE RRM due to the beam based mobility</w:t>
      </w:r>
      <w:r w:rsidR="00170B44">
        <w:rPr>
          <w:lang w:val="en-US"/>
        </w:rPr>
        <w:t>.</w:t>
      </w:r>
      <w:r>
        <w:rPr>
          <w:lang w:val="en-US"/>
        </w:rPr>
        <w:t xml:space="preserve"> In this case</w:t>
      </w:r>
      <w:r w:rsidR="005960AE">
        <w:rPr>
          <w:lang w:val="en-US"/>
        </w:rPr>
        <w:t>,</w:t>
      </w:r>
      <w:r w:rsidR="00170B44">
        <w:rPr>
          <w:lang w:val="en-US"/>
        </w:rPr>
        <w:t xml:space="preserve"> </w:t>
      </w:r>
      <w:r>
        <w:rPr>
          <w:lang w:val="en-US"/>
        </w:rPr>
        <w:t xml:space="preserve">NR </w:t>
      </w:r>
      <w:r w:rsidR="005960AE">
        <w:rPr>
          <w:lang w:val="en-US"/>
        </w:rPr>
        <w:t>RRM</w:t>
      </w:r>
      <w:r w:rsidR="00170B44">
        <w:rPr>
          <w:lang w:val="en-US"/>
        </w:rPr>
        <w:t xml:space="preserve"> measurement</w:t>
      </w:r>
      <w:r>
        <w:rPr>
          <w:lang w:val="en-US"/>
        </w:rPr>
        <w:t xml:space="preserve"> configuration,</w:t>
      </w:r>
      <w:r w:rsidR="00170B44">
        <w:rPr>
          <w:lang w:val="en-US"/>
        </w:rPr>
        <w:t xml:space="preserve"> </w:t>
      </w:r>
      <w:r w:rsidR="005960AE" w:rsidRPr="005960AE">
        <w:rPr>
          <w:lang w:val="en-US"/>
        </w:rPr>
        <w:t xml:space="preserve">measurement reporting events </w:t>
      </w:r>
      <w:r>
        <w:rPr>
          <w:lang w:val="en-US"/>
        </w:rPr>
        <w:t xml:space="preserve">and triggers may be </w:t>
      </w:r>
      <w:r w:rsidR="005960AE">
        <w:rPr>
          <w:lang w:val="en-US"/>
        </w:rPr>
        <w:t>fundamentally</w:t>
      </w:r>
      <w:r>
        <w:rPr>
          <w:lang w:val="en-US"/>
        </w:rPr>
        <w:t xml:space="preserve"> different than those </w:t>
      </w:r>
      <w:r w:rsidR="005960AE">
        <w:rPr>
          <w:lang w:val="en-US"/>
        </w:rPr>
        <w:t xml:space="preserve">already </w:t>
      </w:r>
      <w:r>
        <w:rPr>
          <w:lang w:val="en-US"/>
        </w:rPr>
        <w:t>specified for LTE</w:t>
      </w:r>
      <w:r w:rsidR="005960AE">
        <w:rPr>
          <w:lang w:val="en-US"/>
        </w:rPr>
        <w:t xml:space="preserve"> mobility</w:t>
      </w:r>
      <w:r w:rsidR="00170B44">
        <w:rPr>
          <w:lang w:val="en-US"/>
        </w:rPr>
        <w:t xml:space="preserve">. </w:t>
      </w:r>
      <w:r w:rsidR="005960AE">
        <w:rPr>
          <w:lang w:val="en-US"/>
        </w:rPr>
        <w:t>This means, if we fully rely on LTE DC procedures</w:t>
      </w:r>
      <w:r w:rsidR="00A04F3B">
        <w:rPr>
          <w:lang w:val="en-US"/>
        </w:rPr>
        <w:t xml:space="preserve"> in case of RRM</w:t>
      </w:r>
      <w:r w:rsidR="005960AE">
        <w:rPr>
          <w:lang w:val="en-US"/>
        </w:rPr>
        <w:t>, we need to define how NR mobility is handled within th</w:t>
      </w:r>
      <w:r w:rsidR="00F01557">
        <w:rPr>
          <w:lang w:val="en-US"/>
        </w:rPr>
        <w:t>e LTE RRC</w:t>
      </w:r>
      <w:r w:rsidR="005960AE">
        <w:rPr>
          <w:lang w:val="en-US"/>
        </w:rPr>
        <w:t xml:space="preserve"> specifications</w:t>
      </w:r>
      <w:r w:rsidR="00A04F3B">
        <w:rPr>
          <w:lang w:val="en-US"/>
        </w:rPr>
        <w:t xml:space="preserve"> and the other way around for NR specifications</w:t>
      </w:r>
      <w:r w:rsidR="005960AE">
        <w:rPr>
          <w:lang w:val="en-US"/>
        </w:rPr>
        <w:t xml:space="preserve">. This would not be an efficient </w:t>
      </w:r>
      <w:r w:rsidR="00A04F3B">
        <w:rPr>
          <w:lang w:val="en-US"/>
        </w:rPr>
        <w:t>methodology</w:t>
      </w:r>
      <w:r w:rsidR="005960AE">
        <w:rPr>
          <w:lang w:val="en-US"/>
        </w:rPr>
        <w:t xml:space="preserve"> since </w:t>
      </w:r>
      <w:r w:rsidR="00A04F3B">
        <w:rPr>
          <w:lang w:val="en-US"/>
        </w:rPr>
        <w:t xml:space="preserve">this </w:t>
      </w:r>
      <w:r w:rsidR="005960AE">
        <w:rPr>
          <w:lang w:val="en-US"/>
        </w:rPr>
        <w:t xml:space="preserve">would not </w:t>
      </w:r>
      <w:r w:rsidR="00A04F3B">
        <w:rPr>
          <w:lang w:val="en-US"/>
        </w:rPr>
        <w:t>allow</w:t>
      </w:r>
      <w:r w:rsidR="005960AE">
        <w:rPr>
          <w:lang w:val="en-US"/>
        </w:rPr>
        <w:t xml:space="preserve"> keep</w:t>
      </w:r>
      <w:r w:rsidR="00A04F3B">
        <w:rPr>
          <w:lang w:val="en-US"/>
        </w:rPr>
        <w:t>ing the</w:t>
      </w:r>
      <w:r w:rsidR="005960AE">
        <w:rPr>
          <w:lang w:val="en-US"/>
        </w:rPr>
        <w:t xml:space="preserve"> LTE and NR RRM specifications self-contained,</w:t>
      </w:r>
      <w:r w:rsidR="00A04F3B">
        <w:rPr>
          <w:lang w:val="en-US"/>
        </w:rPr>
        <w:t xml:space="preserve"> may not enable</w:t>
      </w:r>
      <w:r w:rsidR="005960AE">
        <w:rPr>
          <w:lang w:val="en-US"/>
        </w:rPr>
        <w:t xml:space="preserve"> a future-proof </w:t>
      </w:r>
      <w:r w:rsidR="00A04F3B">
        <w:rPr>
          <w:lang w:val="en-US"/>
        </w:rPr>
        <w:t xml:space="preserve">NR </w:t>
      </w:r>
      <w:r w:rsidR="005960AE">
        <w:rPr>
          <w:lang w:val="en-US"/>
        </w:rPr>
        <w:t xml:space="preserve">RRM design e.g., </w:t>
      </w:r>
      <w:r w:rsidR="00A04F3B">
        <w:rPr>
          <w:lang w:val="en-US"/>
        </w:rPr>
        <w:t>when</w:t>
      </w:r>
      <w:r w:rsidR="005960AE">
        <w:rPr>
          <w:lang w:val="en-US"/>
        </w:rPr>
        <w:t xml:space="preserve"> NR stand-alone operation</w:t>
      </w:r>
      <w:r w:rsidR="00A04F3B">
        <w:rPr>
          <w:lang w:val="en-US"/>
        </w:rPr>
        <w:t xml:space="preserve"> is taken into account</w:t>
      </w:r>
      <w:r w:rsidR="005960AE">
        <w:rPr>
          <w:lang w:val="en-US"/>
        </w:rPr>
        <w:t>.</w:t>
      </w:r>
    </w:p>
    <w:p w14:paraId="5AB38487" w14:textId="401C86BF" w:rsidR="00C241A9" w:rsidRDefault="003E6008" w:rsidP="006A678F">
      <w:pPr>
        <w:pStyle w:val="BodyText"/>
        <w:rPr>
          <w:lang w:val="en-US"/>
        </w:rPr>
      </w:pPr>
      <w:r>
        <w:rPr>
          <w:lang w:val="en-US"/>
        </w:rPr>
        <w:t>Although, the intention is to minimize the specification of NR related mobility measurement</w:t>
      </w:r>
      <w:r w:rsidR="007A42BC">
        <w:rPr>
          <w:lang w:val="en-US"/>
        </w:rPr>
        <w:t xml:space="preserve"> configuration</w:t>
      </w:r>
      <w:r>
        <w:rPr>
          <w:lang w:val="en-US"/>
        </w:rPr>
        <w:t xml:space="preserve"> in LTE specifications and vice versa, to be able to execute </w:t>
      </w:r>
      <w:r w:rsidR="00C241A9">
        <w:rPr>
          <w:lang w:val="en-US"/>
        </w:rPr>
        <w:t>inter-RAT handover and secondary node addition procedures</w:t>
      </w:r>
      <w:r>
        <w:rPr>
          <w:lang w:val="en-US"/>
        </w:rPr>
        <w:t>, there i</w:t>
      </w:r>
      <w:r w:rsidR="007A42BC">
        <w:rPr>
          <w:lang w:val="en-US"/>
        </w:rPr>
        <w:t>s</w:t>
      </w:r>
      <w:r w:rsidR="00BA69D2">
        <w:rPr>
          <w:lang w:val="en-US"/>
        </w:rPr>
        <w:t xml:space="preserve"> a</w:t>
      </w:r>
      <w:r w:rsidR="007A42BC">
        <w:rPr>
          <w:lang w:val="en-US"/>
        </w:rPr>
        <w:t xml:space="preserve"> need for a certain level </w:t>
      </w:r>
      <w:r w:rsidR="004907AC">
        <w:rPr>
          <w:lang w:val="en-US"/>
        </w:rPr>
        <w:t xml:space="preserve">of </w:t>
      </w:r>
      <w:r w:rsidR="007A42BC">
        <w:rPr>
          <w:lang w:val="en-US"/>
        </w:rPr>
        <w:t xml:space="preserve">understanding of each other’s measurements and a definition of events to trigger measurement reporting </w:t>
      </w:r>
      <w:r w:rsidR="00BA69D2">
        <w:rPr>
          <w:lang w:val="en-US"/>
        </w:rPr>
        <w:t>for</w:t>
      </w:r>
      <w:r w:rsidR="007A42BC">
        <w:rPr>
          <w:lang w:val="en-US"/>
        </w:rPr>
        <w:t xml:space="preserve"> </w:t>
      </w:r>
      <w:r w:rsidR="00BA69D2">
        <w:rPr>
          <w:lang w:val="en-US"/>
        </w:rPr>
        <w:t>inter-RAT handover or addition of secondary node</w:t>
      </w:r>
      <w:r w:rsidR="005960AE">
        <w:rPr>
          <w:lang w:val="en-US"/>
        </w:rPr>
        <w:t xml:space="preserve">. </w:t>
      </w:r>
    </w:p>
    <w:p w14:paraId="5B629BAC" w14:textId="60FF5D35" w:rsidR="007A42BC" w:rsidRDefault="007A42BC" w:rsidP="007A42BC">
      <w:pPr>
        <w:pStyle w:val="Proposal"/>
        <w:rPr>
          <w:lang w:val="en-US"/>
        </w:rPr>
      </w:pPr>
      <w:bookmarkStart w:id="4" w:name="_Toc463019387"/>
      <w:bookmarkStart w:id="5" w:name="_Toc463032490"/>
      <w:bookmarkStart w:id="6" w:name="_Toc463034746"/>
      <w:r>
        <w:rPr>
          <w:lang w:val="en-US"/>
        </w:rPr>
        <w:t>In case of inter-RAT handover and secondary node addition procedures</w:t>
      </w:r>
      <w:r>
        <w:t>,</w:t>
      </w:r>
      <w:r>
        <w:rPr>
          <w:lang w:val="en-US"/>
        </w:rPr>
        <w:t xml:space="preserve"> the m</w:t>
      </w:r>
      <w:r w:rsidRPr="00A55057">
        <w:rPr>
          <w:lang w:val="en-US"/>
        </w:rPr>
        <w:t xml:space="preserve">aster node </w:t>
      </w:r>
      <w:r>
        <w:rPr>
          <w:lang w:val="en-US"/>
        </w:rPr>
        <w:t>is</w:t>
      </w:r>
      <w:r w:rsidRPr="00A55057">
        <w:rPr>
          <w:lang w:val="en-US"/>
        </w:rPr>
        <w:t xml:space="preserve"> expected to maintain the RRM measurement configuration of the UE for the </w:t>
      </w:r>
      <w:r>
        <w:rPr>
          <w:lang w:val="en-US"/>
        </w:rPr>
        <w:t xml:space="preserve">target or </w:t>
      </w:r>
      <w:r w:rsidRPr="00A55057">
        <w:rPr>
          <w:lang w:val="en-US"/>
        </w:rPr>
        <w:t>secondary node</w:t>
      </w:r>
      <w:r>
        <w:rPr>
          <w:lang w:val="en-US"/>
        </w:rPr>
        <w:t>.</w:t>
      </w:r>
      <w:bookmarkEnd w:id="4"/>
      <w:bookmarkEnd w:id="5"/>
      <w:bookmarkEnd w:id="6"/>
    </w:p>
    <w:p w14:paraId="7E471D41" w14:textId="323587AB" w:rsidR="003E6008" w:rsidRDefault="007A42BC" w:rsidP="007A42BC">
      <w:pPr>
        <w:pStyle w:val="BodyText"/>
        <w:rPr>
          <w:lang w:val="en-US"/>
        </w:rPr>
      </w:pPr>
      <w:r>
        <w:rPr>
          <w:lang w:val="en-US"/>
        </w:rPr>
        <w:t>On the other hand, i</w:t>
      </w:r>
      <w:r w:rsidR="005960AE">
        <w:rPr>
          <w:lang w:val="en-US"/>
        </w:rPr>
        <w:t>n case</w:t>
      </w:r>
      <w:r w:rsidR="00C241A9">
        <w:rPr>
          <w:lang w:val="en-US"/>
        </w:rPr>
        <w:t xml:space="preserve"> of secondary node </w:t>
      </w:r>
      <w:r w:rsidR="00C241A9">
        <w:t>modification</w:t>
      </w:r>
      <w:r w:rsidR="007D187D">
        <w:t xml:space="preserve"> </w:t>
      </w:r>
      <w:r w:rsidR="00C241A9">
        <w:t xml:space="preserve">/ </w:t>
      </w:r>
      <w:r w:rsidR="00C241A9" w:rsidRPr="00A04F3B">
        <w:t>change</w:t>
      </w:r>
      <w:r w:rsidR="00C241A9">
        <w:t xml:space="preserve"> / </w:t>
      </w:r>
      <w:r w:rsidR="003E6008">
        <w:t>release</w:t>
      </w:r>
      <w:r w:rsidR="00C241A9">
        <w:t xml:space="preserve"> procedures</w:t>
      </w:r>
      <w:r w:rsidR="005960AE">
        <w:rPr>
          <w:lang w:val="en-US"/>
        </w:rPr>
        <w:t xml:space="preserve">, </w:t>
      </w:r>
      <w:r w:rsidR="00C241A9">
        <w:rPr>
          <w:lang w:val="en-US"/>
        </w:rPr>
        <w:t>the m</w:t>
      </w:r>
      <w:r w:rsidR="00C241A9" w:rsidRPr="00A55057">
        <w:rPr>
          <w:lang w:val="en-US"/>
        </w:rPr>
        <w:t xml:space="preserve">aster node should not </w:t>
      </w:r>
      <w:r w:rsidR="009A7A1A">
        <w:rPr>
          <w:lang w:val="en-US"/>
        </w:rPr>
        <w:t xml:space="preserve">necessarily </w:t>
      </w:r>
      <w:r w:rsidR="00C241A9" w:rsidRPr="00A55057">
        <w:rPr>
          <w:lang w:val="en-US"/>
        </w:rPr>
        <w:t xml:space="preserve">be expected to maintain the RRM measurement configuration of the UE for the secondary node but to </w:t>
      </w:r>
      <w:r w:rsidR="00C241A9">
        <w:rPr>
          <w:lang w:val="en-US"/>
        </w:rPr>
        <w:t xml:space="preserve">only </w:t>
      </w:r>
      <w:r w:rsidR="00C241A9" w:rsidRPr="00A55057">
        <w:rPr>
          <w:lang w:val="en-US"/>
        </w:rPr>
        <w:t>generate the final RRC message</w:t>
      </w:r>
      <w:r w:rsidR="00C241A9">
        <w:rPr>
          <w:lang w:val="en-US"/>
        </w:rPr>
        <w:t xml:space="preserve"> as proposed in </w:t>
      </w:r>
      <w:r w:rsidR="00C241A9">
        <w:rPr>
          <w:lang w:val="en-US"/>
        </w:rPr>
        <w:fldChar w:fldCharType="begin"/>
      </w:r>
      <w:r w:rsidR="00C241A9">
        <w:rPr>
          <w:lang w:val="en-US"/>
        </w:rPr>
        <w:instrText xml:space="preserve"> REF _Ref462994916 \n \h </w:instrText>
      </w:r>
      <w:r w:rsidR="00C241A9">
        <w:rPr>
          <w:lang w:val="en-US"/>
        </w:rPr>
      </w:r>
      <w:r w:rsidR="00C241A9">
        <w:rPr>
          <w:lang w:val="en-US"/>
        </w:rPr>
        <w:fldChar w:fldCharType="separate"/>
      </w:r>
      <w:r w:rsidR="00C241A9">
        <w:rPr>
          <w:lang w:val="en-US"/>
        </w:rPr>
        <w:t>[3]</w:t>
      </w:r>
      <w:r w:rsidR="00C241A9">
        <w:rPr>
          <w:lang w:val="en-US"/>
        </w:rPr>
        <w:fldChar w:fldCharType="end"/>
      </w:r>
      <w:r w:rsidR="00C241A9">
        <w:rPr>
          <w:lang w:val="en-US"/>
        </w:rPr>
        <w:t>.</w:t>
      </w:r>
      <w:r w:rsidR="007D187D">
        <w:rPr>
          <w:lang w:val="en-US"/>
        </w:rPr>
        <w:t xml:space="preserve"> Here, secondary node modification includes changes of L1/L2 configuration, adding and removing of c</w:t>
      </w:r>
      <w:bookmarkStart w:id="7" w:name="_GoBack"/>
      <w:bookmarkEnd w:id="7"/>
      <w:r w:rsidR="007D187D">
        <w:rPr>
          <w:lang w:val="en-US"/>
        </w:rPr>
        <w:t>ells or beams.</w:t>
      </w:r>
      <w:r w:rsidR="00C241A9">
        <w:rPr>
          <w:lang w:val="en-US"/>
        </w:rPr>
        <w:t xml:space="preserve"> In </w:t>
      </w:r>
      <w:r w:rsidR="009A7A1A">
        <w:rPr>
          <w:lang w:val="en-US"/>
        </w:rPr>
        <w:t>case the NR RRM turns out very different from LTE</w:t>
      </w:r>
      <w:r w:rsidR="00C241A9">
        <w:rPr>
          <w:lang w:val="en-US"/>
        </w:rPr>
        <w:t xml:space="preserve">, </w:t>
      </w:r>
      <w:r w:rsidR="009A7A1A">
        <w:rPr>
          <w:lang w:val="en-US"/>
        </w:rPr>
        <w:t xml:space="preserve">the </w:t>
      </w:r>
      <w:r w:rsidR="005960AE">
        <w:rPr>
          <w:lang w:val="en-US"/>
        </w:rPr>
        <w:t>RRC message transmitted from the master node</w:t>
      </w:r>
      <w:r w:rsidR="00A04F3B">
        <w:rPr>
          <w:lang w:val="en-US"/>
        </w:rPr>
        <w:t xml:space="preserve"> </w:t>
      </w:r>
      <w:r w:rsidR="005960AE">
        <w:rPr>
          <w:lang w:val="en-US"/>
        </w:rPr>
        <w:t>contain</w:t>
      </w:r>
      <w:r w:rsidR="0065722F">
        <w:rPr>
          <w:lang w:val="en-US"/>
        </w:rPr>
        <w:t>s</w:t>
      </w:r>
      <w:r w:rsidR="00A55057" w:rsidRPr="00A55057">
        <w:rPr>
          <w:lang w:val="en-US"/>
        </w:rPr>
        <w:t xml:space="preserve"> the RRM measurement configuration prepared by the</w:t>
      </w:r>
      <w:r w:rsidR="00A55057">
        <w:rPr>
          <w:lang w:val="en-US"/>
        </w:rPr>
        <w:t xml:space="preserve"> RRC entity in the</w:t>
      </w:r>
      <w:r w:rsidR="00A55057" w:rsidRPr="00A55057">
        <w:rPr>
          <w:lang w:val="en-US"/>
        </w:rPr>
        <w:t xml:space="preserve"> secondary node</w:t>
      </w:r>
      <w:r w:rsidR="00170B44">
        <w:rPr>
          <w:lang w:val="en-US"/>
        </w:rPr>
        <w:t xml:space="preserve">. </w:t>
      </w:r>
      <w:r w:rsidR="00A04F3B">
        <w:rPr>
          <w:lang w:val="en-US"/>
        </w:rPr>
        <w:t xml:space="preserve">Whether the master node needs to understand the RRM measurement configuration </w:t>
      </w:r>
      <w:r w:rsidR="00C241A9">
        <w:rPr>
          <w:lang w:val="en-US"/>
        </w:rPr>
        <w:t xml:space="preserve">for these cases </w:t>
      </w:r>
      <w:r w:rsidR="00A04F3B">
        <w:rPr>
          <w:lang w:val="en-US"/>
        </w:rPr>
        <w:t>or not should be left to the implementation and kept transparent from the specification point of view.</w:t>
      </w:r>
      <w:r w:rsidR="00CF37DF">
        <w:rPr>
          <w:lang w:val="en-US"/>
        </w:rPr>
        <w:t xml:space="preserve"> </w:t>
      </w:r>
    </w:p>
    <w:p w14:paraId="6EEBB5C6" w14:textId="2DE8BF64" w:rsidR="00A04F3B" w:rsidRDefault="00C241A9" w:rsidP="00A04F3B">
      <w:pPr>
        <w:pStyle w:val="Proposal"/>
        <w:rPr>
          <w:lang w:val="en-US"/>
        </w:rPr>
      </w:pPr>
      <w:bookmarkStart w:id="8" w:name="_Toc463019388"/>
      <w:bookmarkStart w:id="9" w:name="_Toc463032491"/>
      <w:bookmarkStart w:id="10" w:name="_Toc463034747"/>
      <w:r>
        <w:rPr>
          <w:lang w:val="en-US"/>
        </w:rPr>
        <w:t xml:space="preserve">In case of secondary node </w:t>
      </w:r>
      <w:r>
        <w:t xml:space="preserve">modification / </w:t>
      </w:r>
      <w:r w:rsidRPr="00A04F3B">
        <w:t>change</w:t>
      </w:r>
      <w:r>
        <w:t xml:space="preserve"> / </w:t>
      </w:r>
      <w:r w:rsidR="003E6008">
        <w:t>release</w:t>
      </w:r>
      <w:r>
        <w:t xml:space="preserve"> procedures,</w:t>
      </w:r>
      <w:r>
        <w:rPr>
          <w:lang w:val="en-US"/>
        </w:rPr>
        <w:t xml:space="preserve"> m</w:t>
      </w:r>
      <w:r w:rsidR="00A04F3B">
        <w:rPr>
          <w:lang w:val="en-US"/>
        </w:rPr>
        <w:t>aster node should not</w:t>
      </w:r>
      <w:r w:rsidR="009A7A1A">
        <w:rPr>
          <w:lang w:val="en-US"/>
        </w:rPr>
        <w:t xml:space="preserve"> necessarily</w:t>
      </w:r>
      <w:r w:rsidR="00A04F3B">
        <w:rPr>
          <w:lang w:val="en-US"/>
        </w:rPr>
        <w:t xml:space="preserve"> be expected to </w:t>
      </w:r>
      <w:r w:rsidR="00A04F3B">
        <w:rPr>
          <w:rFonts w:hint="eastAsia"/>
          <w:lang w:eastAsia="ja-JP"/>
        </w:rPr>
        <w:t>maintain the RRM measurement configuration of the UE</w:t>
      </w:r>
      <w:r w:rsidR="00A04F3B">
        <w:rPr>
          <w:lang w:eastAsia="ja-JP"/>
        </w:rPr>
        <w:t xml:space="preserve"> for the secondary node but to generate the final RRC </w:t>
      </w:r>
      <w:r w:rsidR="00A04F3B">
        <w:rPr>
          <w:lang w:eastAsia="ja-JP"/>
        </w:rPr>
        <w:lastRenderedPageBreak/>
        <w:t>message that includes the RRM measurement configuration prepared by the secondary node</w:t>
      </w:r>
      <w:r w:rsidR="00A04F3B">
        <w:rPr>
          <w:lang w:val="en-US"/>
        </w:rPr>
        <w:t>.</w:t>
      </w:r>
      <w:bookmarkEnd w:id="8"/>
      <w:bookmarkEnd w:id="9"/>
      <w:bookmarkEnd w:id="10"/>
    </w:p>
    <w:p w14:paraId="170F9F8A" w14:textId="643FD8A5" w:rsidR="0065722F" w:rsidRDefault="00B972CE" w:rsidP="00A04F3B">
      <w:pPr>
        <w:pStyle w:val="Proposal"/>
        <w:rPr>
          <w:lang w:val="en-US"/>
        </w:rPr>
      </w:pPr>
      <w:bookmarkStart w:id="11" w:name="_Toc463019389"/>
      <w:bookmarkStart w:id="12" w:name="_Toc463032492"/>
      <w:bookmarkStart w:id="13" w:name="_Toc463034748"/>
      <w:r>
        <w:rPr>
          <w:lang w:val="en-US"/>
        </w:rPr>
        <w:t>W</w:t>
      </w:r>
      <w:r w:rsidR="0065722F">
        <w:rPr>
          <w:lang w:val="en-US"/>
        </w:rPr>
        <w:t xml:space="preserve">hether the master node needs to understand the RRM measurement configuration or not should be left to the implementation </w:t>
      </w:r>
      <w:r w:rsidR="003E6008">
        <w:rPr>
          <w:lang w:val="en-US"/>
        </w:rPr>
        <w:t xml:space="preserve">in case of secondary node </w:t>
      </w:r>
      <w:r w:rsidR="003E6008">
        <w:t xml:space="preserve">modification / </w:t>
      </w:r>
      <w:r w:rsidR="003E6008" w:rsidRPr="00A04F3B">
        <w:t>change</w:t>
      </w:r>
      <w:r w:rsidR="003E6008">
        <w:t xml:space="preserve"> / release procedures</w:t>
      </w:r>
      <w:r w:rsidR="0065722F">
        <w:rPr>
          <w:lang w:val="en-US"/>
        </w:rPr>
        <w:t>.</w:t>
      </w:r>
      <w:bookmarkEnd w:id="11"/>
      <w:bookmarkEnd w:id="12"/>
      <w:bookmarkEnd w:id="13"/>
    </w:p>
    <w:p w14:paraId="1C689054" w14:textId="53D0B3AC" w:rsidR="00170B44" w:rsidRDefault="003E6008" w:rsidP="006A678F">
      <w:pPr>
        <w:pStyle w:val="BodyText"/>
        <w:rPr>
          <w:lang w:val="en-US"/>
        </w:rPr>
      </w:pPr>
      <w:r>
        <w:rPr>
          <w:lang w:val="en-US"/>
        </w:rPr>
        <w:t xml:space="preserve">In case of secondary node </w:t>
      </w:r>
      <w:r>
        <w:t xml:space="preserve">modification / </w:t>
      </w:r>
      <w:r w:rsidRPr="00A04F3B">
        <w:t>change</w:t>
      </w:r>
      <w:r>
        <w:t xml:space="preserve"> / </w:t>
      </w:r>
      <w:r w:rsidRPr="00A04F3B">
        <w:t>re</w:t>
      </w:r>
      <w:r>
        <w:t>lease procedures,</w:t>
      </w:r>
      <w:r>
        <w:rPr>
          <w:lang w:val="en-US"/>
        </w:rPr>
        <w:t xml:space="preserve"> t</w:t>
      </w:r>
      <w:r w:rsidR="00093B9B">
        <w:rPr>
          <w:lang w:val="en-US"/>
        </w:rPr>
        <w:t>he RRM mea</w:t>
      </w:r>
      <w:r w:rsidR="00A55057">
        <w:rPr>
          <w:lang w:val="en-US"/>
        </w:rPr>
        <w:t>s</w:t>
      </w:r>
      <w:r w:rsidR="00A04F3B">
        <w:rPr>
          <w:lang w:val="en-US"/>
        </w:rPr>
        <w:t>urement report that is concerning the mobility within the secondary node(s) is received by the master node</w:t>
      </w:r>
      <w:r w:rsidR="0065722F">
        <w:rPr>
          <w:lang w:val="en-US"/>
        </w:rPr>
        <w:t xml:space="preserve"> RRC entity within a final RRC message</w:t>
      </w:r>
      <w:r w:rsidR="00A04F3B">
        <w:rPr>
          <w:lang w:val="en-US"/>
        </w:rPr>
        <w:t>.</w:t>
      </w:r>
      <w:r w:rsidR="008F0B06">
        <w:rPr>
          <w:lang w:val="en-US"/>
        </w:rPr>
        <w:t xml:space="preserve"> </w:t>
      </w:r>
      <w:r w:rsidR="00A04F3B">
        <w:rPr>
          <w:lang w:val="en-US"/>
        </w:rPr>
        <w:t>The master node</w:t>
      </w:r>
      <w:r w:rsidR="0065722F">
        <w:rPr>
          <w:lang w:val="en-US"/>
        </w:rPr>
        <w:t>, without needing to parse the information,</w:t>
      </w:r>
      <w:r w:rsidR="00A55057">
        <w:rPr>
          <w:lang w:val="en-US"/>
        </w:rPr>
        <w:t xml:space="preserve"> transfer</w:t>
      </w:r>
      <w:r w:rsidR="00A04F3B">
        <w:rPr>
          <w:lang w:val="en-US"/>
        </w:rPr>
        <w:t>s the NR part of the RRC message including the RRM measurement report, e.g., over X2* interface,</w:t>
      </w:r>
      <w:r w:rsidR="00A55057">
        <w:rPr>
          <w:lang w:val="en-US"/>
        </w:rPr>
        <w:t xml:space="preserve"> to the RRC entity </w:t>
      </w:r>
      <w:r w:rsidR="00A04F3B">
        <w:rPr>
          <w:lang w:val="en-US"/>
        </w:rPr>
        <w:t>located in the secondary</w:t>
      </w:r>
      <w:r w:rsidR="00A55057">
        <w:rPr>
          <w:lang w:val="en-US"/>
        </w:rPr>
        <w:t xml:space="preserve"> node by </w:t>
      </w:r>
      <w:r w:rsidR="00A04F3B">
        <w:rPr>
          <w:lang w:val="en-US"/>
        </w:rPr>
        <w:t xml:space="preserve">means of </w:t>
      </w:r>
      <w:r w:rsidR="00A55057">
        <w:rPr>
          <w:lang w:val="en-US"/>
        </w:rPr>
        <w:t xml:space="preserve">a container. </w:t>
      </w:r>
    </w:p>
    <w:p w14:paraId="01043B16" w14:textId="564E8A46" w:rsidR="00A55057" w:rsidRDefault="003E6008" w:rsidP="00093B9B">
      <w:pPr>
        <w:pStyle w:val="Proposal"/>
        <w:rPr>
          <w:lang w:val="en-US"/>
        </w:rPr>
      </w:pPr>
      <w:bookmarkStart w:id="14" w:name="_Toc463019390"/>
      <w:bookmarkStart w:id="15" w:name="_Toc463032493"/>
      <w:bookmarkStart w:id="16" w:name="_Toc463034749"/>
      <w:r>
        <w:rPr>
          <w:lang w:val="en-US"/>
        </w:rPr>
        <w:t xml:space="preserve">In case of secondary node </w:t>
      </w:r>
      <w:r>
        <w:t xml:space="preserve">modification / </w:t>
      </w:r>
      <w:r w:rsidRPr="00A04F3B">
        <w:t>change</w:t>
      </w:r>
      <w:r>
        <w:t xml:space="preserve"> / release procedures,</w:t>
      </w:r>
      <w:r>
        <w:rPr>
          <w:lang w:val="en-US"/>
        </w:rPr>
        <w:t xml:space="preserve"> </w:t>
      </w:r>
      <w:r w:rsidR="00A55057">
        <w:rPr>
          <w:lang w:val="en-US"/>
        </w:rPr>
        <w:t>RRM measurement report triggered by the RRM measurement configuration that is prepared by the RRC entity in the secondary node has to be transferred to the secondary node by a container.</w:t>
      </w:r>
      <w:bookmarkEnd w:id="14"/>
      <w:bookmarkEnd w:id="15"/>
      <w:bookmarkEnd w:id="16"/>
    </w:p>
    <w:p w14:paraId="1E1B9658" w14:textId="52C8D20B" w:rsidR="007D187D" w:rsidRDefault="007D187D" w:rsidP="007D187D">
      <w:pPr>
        <w:pStyle w:val="BodyText"/>
        <w:rPr>
          <w:lang w:val="en-US"/>
        </w:rPr>
      </w:pPr>
      <w:r>
        <w:rPr>
          <w:lang w:val="en-US"/>
        </w:rPr>
        <w:t>On top of the addition / change / release procedures</w:t>
      </w:r>
    </w:p>
    <w:p w14:paraId="28C12F1B" w14:textId="64A23338" w:rsidR="006A678F" w:rsidRPr="008D5609" w:rsidRDefault="006A678F" w:rsidP="006A678F">
      <w:pPr>
        <w:pStyle w:val="Heading1"/>
        <w:rPr>
          <w:lang w:val="en-US"/>
        </w:rPr>
      </w:pPr>
      <w:bookmarkStart w:id="17" w:name="_Toc462925783"/>
      <w:r w:rsidRPr="008D5609">
        <w:rPr>
          <w:lang w:val="en-US"/>
        </w:rPr>
        <w:t>Conclusion</w:t>
      </w:r>
      <w:bookmarkEnd w:id="17"/>
    </w:p>
    <w:p w14:paraId="1638F31B" w14:textId="37DEB636" w:rsidR="006A678F" w:rsidRDefault="006A678F" w:rsidP="006A678F">
      <w:pPr>
        <w:pStyle w:val="BodyText"/>
        <w:rPr>
          <w:b/>
          <w:bCs/>
        </w:rPr>
      </w:pPr>
      <w:r w:rsidRPr="00236942">
        <w:t xml:space="preserve">Based on the discussion in section </w:t>
      </w:r>
      <w:r>
        <w:t>2</w:t>
      </w:r>
      <w:r w:rsidR="00CD1DED">
        <w:t>,</w:t>
      </w:r>
      <w:r w:rsidRPr="00236942">
        <w:t xml:space="preserve"> we </w:t>
      </w:r>
      <w:r>
        <w:t>have the following proposals</w:t>
      </w:r>
      <w:r w:rsidRPr="00236942">
        <w:t>:</w:t>
      </w:r>
    </w:p>
    <w:p w14:paraId="29D889FC" w14:textId="77777777" w:rsidR="000D4B85" w:rsidRPr="000D4B85" w:rsidRDefault="0047371B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fi-FI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0D4B85" w:rsidRPr="001C49BC">
        <w:t>Proposal 1</w:t>
      </w:r>
      <w:r w:rsidR="000D4B85" w:rsidRPr="000D4B85">
        <w:rPr>
          <w:rFonts w:asciiTheme="minorHAnsi" w:eastAsiaTheme="minorEastAsia" w:hAnsiTheme="minorHAnsi" w:cstheme="minorBidi"/>
          <w:b w:val="0"/>
          <w:sz w:val="22"/>
          <w:lang w:val="en-GB" w:eastAsia="fi-FI"/>
        </w:rPr>
        <w:tab/>
      </w:r>
      <w:r w:rsidR="000D4B85" w:rsidRPr="001C49BC">
        <w:t>In case of inter-RAT handover and secondary node addition procedures</w:t>
      </w:r>
      <w:r w:rsidR="000D4B85">
        <w:t>,</w:t>
      </w:r>
      <w:r w:rsidR="000D4B85" w:rsidRPr="001C49BC">
        <w:t xml:space="preserve"> the master node is expected to maintain the RRM measurement configuration of the UE for the target or secondary node.</w:t>
      </w:r>
    </w:p>
    <w:p w14:paraId="73325DBD" w14:textId="77777777" w:rsidR="000D4B85" w:rsidRPr="000D4B85" w:rsidRDefault="000D4B85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fi-FI"/>
        </w:rPr>
      </w:pPr>
      <w:r w:rsidRPr="001C49BC">
        <w:t>Proposal 2</w:t>
      </w:r>
      <w:r w:rsidRPr="000D4B85">
        <w:rPr>
          <w:rFonts w:asciiTheme="minorHAnsi" w:eastAsiaTheme="minorEastAsia" w:hAnsiTheme="minorHAnsi" w:cstheme="minorBidi"/>
          <w:b w:val="0"/>
          <w:sz w:val="22"/>
          <w:lang w:val="en-GB" w:eastAsia="fi-FI"/>
        </w:rPr>
        <w:tab/>
      </w:r>
      <w:r w:rsidRPr="001C49BC">
        <w:t xml:space="preserve">In case of secondary node </w:t>
      </w:r>
      <w:r>
        <w:t>modification / change / release procedures,</w:t>
      </w:r>
      <w:r w:rsidRPr="001C49BC">
        <w:t xml:space="preserve"> master node should not necessarily be expected to </w:t>
      </w:r>
      <w:r>
        <w:rPr>
          <w:lang w:eastAsia="ja-JP"/>
        </w:rPr>
        <w:t>maintain the RRM measurement configuration of the UE for the secondary node but to generate the final RRC message that includes the RRM measurement configuration prepared by the secondary node</w:t>
      </w:r>
      <w:r w:rsidRPr="001C49BC">
        <w:t>.</w:t>
      </w:r>
    </w:p>
    <w:p w14:paraId="6E4309A7" w14:textId="77777777" w:rsidR="000D4B85" w:rsidRPr="000D4B85" w:rsidRDefault="000D4B85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fi-FI"/>
        </w:rPr>
      </w:pPr>
      <w:r w:rsidRPr="001C49BC">
        <w:t>Proposal 3</w:t>
      </w:r>
      <w:r w:rsidRPr="000D4B85">
        <w:rPr>
          <w:rFonts w:asciiTheme="minorHAnsi" w:eastAsiaTheme="minorEastAsia" w:hAnsiTheme="minorHAnsi" w:cstheme="minorBidi"/>
          <w:b w:val="0"/>
          <w:sz w:val="22"/>
          <w:lang w:val="en-GB" w:eastAsia="fi-FI"/>
        </w:rPr>
        <w:tab/>
      </w:r>
      <w:r w:rsidRPr="001C49BC">
        <w:t xml:space="preserve">Whether the master node needs to understand the RRM measurement configuration or not should be left to the implementation in case of secondary node </w:t>
      </w:r>
      <w:r>
        <w:t>modification / change / release procedures</w:t>
      </w:r>
      <w:r w:rsidRPr="001C49BC">
        <w:t>.</w:t>
      </w:r>
    </w:p>
    <w:p w14:paraId="1CD63E63" w14:textId="77777777" w:rsidR="000D4B85" w:rsidRPr="000D4B85" w:rsidRDefault="000D4B85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fi-FI"/>
        </w:rPr>
      </w:pPr>
      <w:r w:rsidRPr="001C49BC">
        <w:t>Proposal 4</w:t>
      </w:r>
      <w:r w:rsidRPr="000D4B85">
        <w:rPr>
          <w:rFonts w:asciiTheme="minorHAnsi" w:eastAsiaTheme="minorEastAsia" w:hAnsiTheme="minorHAnsi" w:cstheme="minorBidi"/>
          <w:b w:val="0"/>
          <w:sz w:val="22"/>
          <w:lang w:val="en-GB" w:eastAsia="fi-FI"/>
        </w:rPr>
        <w:tab/>
      </w:r>
      <w:r w:rsidRPr="001C49BC">
        <w:t xml:space="preserve">In case of secondary node </w:t>
      </w:r>
      <w:r>
        <w:t>modification / change / release procedures,</w:t>
      </w:r>
      <w:r w:rsidRPr="001C49BC">
        <w:t xml:space="preserve"> RRM measurement report triggered by the RRM measurement configuration that is prepared by the RRC entity in the secondary node has to be transferred to the secondary node by a container.</w:t>
      </w:r>
    </w:p>
    <w:p w14:paraId="0DF19C98" w14:textId="4437C049" w:rsidR="006A678F" w:rsidRPr="00EC6165" w:rsidRDefault="0047371B" w:rsidP="0047371B">
      <w:pPr>
        <w:pStyle w:val="BodyText"/>
        <w:tabs>
          <w:tab w:val="left" w:pos="2100"/>
        </w:tabs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9112E7E" w14:textId="77777777" w:rsidR="006A678F" w:rsidRPr="008D5609" w:rsidRDefault="006A678F" w:rsidP="006A678F">
      <w:pPr>
        <w:pStyle w:val="Heading1"/>
        <w:rPr>
          <w:lang w:val="en-US"/>
        </w:rPr>
      </w:pPr>
      <w:bookmarkStart w:id="18" w:name="_In-sequence_SDU_delivery"/>
      <w:bookmarkStart w:id="19" w:name="_Toc462925784"/>
      <w:bookmarkEnd w:id="18"/>
      <w:r w:rsidRPr="008D5609">
        <w:rPr>
          <w:lang w:val="en-US"/>
        </w:rPr>
        <w:t>References</w:t>
      </w:r>
      <w:bookmarkEnd w:id="19"/>
    </w:p>
    <w:p w14:paraId="06CDF5AA" w14:textId="2DEE0D81" w:rsidR="00CD1DED" w:rsidRDefault="00CD1DED" w:rsidP="00CD1DED">
      <w:pPr>
        <w:pStyle w:val="Reference"/>
        <w:numPr>
          <w:ilvl w:val="0"/>
          <w:numId w:val="22"/>
        </w:numPr>
        <w:textAlignment w:val="auto"/>
      </w:pPr>
      <w:bookmarkStart w:id="20" w:name="_Ref446579153"/>
      <w:bookmarkStart w:id="21" w:name="_Ref462960254"/>
      <w:r w:rsidRPr="00CB6B31">
        <w:t>3GPP TS 36.3</w:t>
      </w:r>
      <w:r>
        <w:t>00</w:t>
      </w:r>
      <w:r w:rsidRPr="00CB6B31">
        <w:t xml:space="preserve">, </w:t>
      </w:r>
      <w:bookmarkEnd w:id="20"/>
      <w:r>
        <w:t>3rd Generation Partnership Project; Technical Specification Group Radio Access Network; Evolved Universal Terrestrial Radio Access (E-UTRA) and Evolved Universal Terrestrial Radio Access Network.</w:t>
      </w:r>
      <w:bookmarkEnd w:id="21"/>
      <w:r>
        <w:t xml:space="preserve"> </w:t>
      </w:r>
    </w:p>
    <w:p w14:paraId="7D74A23C" w14:textId="14C7378E" w:rsidR="006A678F" w:rsidRDefault="00CD1DED" w:rsidP="00CD1DED">
      <w:pPr>
        <w:pStyle w:val="Reference"/>
      </w:pPr>
      <w:bookmarkStart w:id="22" w:name="_Ref462960225"/>
      <w:r w:rsidRPr="00CB6B31">
        <w:t>3GPP TS 36.</w:t>
      </w:r>
      <w:r>
        <w:t>842</w:t>
      </w:r>
      <w:r w:rsidRPr="00CB6B31">
        <w:t xml:space="preserve">, </w:t>
      </w:r>
      <w:r>
        <w:t>3rd Generation Partnership Project; Technical Specification Group Radio Access Network; Study on Small Cell enhanc</w:t>
      </w:r>
      <w:r w:rsidR="005960AE">
        <w:t xml:space="preserve">ements for E-UTRA and E-UTRAN; </w:t>
      </w:r>
      <w:r>
        <w:t>Higher layer aspects (Release 12)</w:t>
      </w:r>
    </w:p>
    <w:p w14:paraId="189EB575" w14:textId="46B49714" w:rsidR="003A7EF3" w:rsidRPr="00955654" w:rsidRDefault="00955654" w:rsidP="006A678F">
      <w:pPr>
        <w:pStyle w:val="Reference"/>
      </w:pPr>
      <w:bookmarkStart w:id="23" w:name="_Ref462994916"/>
      <w:r w:rsidRPr="00955654">
        <w:t>R2-166775</w:t>
      </w:r>
      <w:r w:rsidR="005960AE" w:rsidRPr="00955654">
        <w:t>, RRC configuration in LTE-NR tight-interworking, 3GPP TSG-RAN WG2 #95bis, Kaohsiung, Taiwan, 10th – 14th October 2016</w:t>
      </w:r>
      <w:bookmarkEnd w:id="22"/>
      <w:r w:rsidR="005960AE" w:rsidRPr="00955654">
        <w:t>.</w:t>
      </w:r>
      <w:bookmarkEnd w:id="23"/>
    </w:p>
    <w:sectPr w:rsidR="003A7EF3" w:rsidRPr="0095565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E862A1" w14:textId="77777777" w:rsidR="00562D34" w:rsidRDefault="00562D34">
      <w:r>
        <w:separator/>
      </w:r>
    </w:p>
  </w:endnote>
  <w:endnote w:type="continuationSeparator" w:id="0">
    <w:p w14:paraId="5EB4C6C2" w14:textId="77777777" w:rsidR="00562D34" w:rsidRDefault="00562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4A41B" w14:textId="7879BD13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D187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D187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C4ED9" w14:textId="77777777" w:rsidR="00562D34" w:rsidRDefault="00562D34">
      <w:r>
        <w:separator/>
      </w:r>
    </w:p>
  </w:footnote>
  <w:footnote w:type="continuationSeparator" w:id="0">
    <w:p w14:paraId="10B14D4B" w14:textId="77777777" w:rsidR="00562D34" w:rsidRDefault="00562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89AC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E085D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F0D9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380E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82E62"/>
    <w:multiLevelType w:val="hybridMultilevel"/>
    <w:tmpl w:val="46161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C6808"/>
    <w:multiLevelType w:val="hybridMultilevel"/>
    <w:tmpl w:val="FBDCB822"/>
    <w:lvl w:ilvl="0" w:tplc="DAB881E6">
      <w:start w:val="18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B930E886"/>
    <w:lvl w:ilvl="0" w:tplc="0BE2251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5"/>
  </w:num>
  <w:num w:numId="15">
    <w:abstractNumId w:val="4"/>
  </w:num>
  <w:num w:numId="16">
    <w:abstractNumId w:val="13"/>
    <w:lvlOverride w:ilvl="0">
      <w:startOverride w:val="1"/>
    </w:lvlOverride>
  </w:num>
  <w:num w:numId="17">
    <w:abstractNumId w:val="9"/>
    <w:lvlOverride w:ilvl="0">
      <w:startOverride w:val="1"/>
    </w:lvlOverride>
  </w:num>
  <w:num w:numId="18">
    <w:abstractNumId w:val="9"/>
    <w:lvlOverride w:ilvl="0">
      <w:startOverride w:val="1"/>
    </w:lvlOverride>
  </w:num>
  <w:num w:numId="19">
    <w:abstractNumId w:val="13"/>
    <w:lvlOverride w:ilvl="0">
      <w:startOverride w:val="1"/>
    </w:lvlOverride>
  </w:num>
  <w:num w:numId="20">
    <w:abstractNumId w:val="13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</w:num>
  <w:num w:numId="24">
    <w:abstractNumId w:val="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fi-FI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9D4"/>
    <w:rsid w:val="00085B52"/>
    <w:rsid w:val="000866F2"/>
    <w:rsid w:val="0009009F"/>
    <w:rsid w:val="00091557"/>
    <w:rsid w:val="000924C1"/>
    <w:rsid w:val="000924F0"/>
    <w:rsid w:val="00093474"/>
    <w:rsid w:val="00093B9B"/>
    <w:rsid w:val="00094BC9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B85"/>
    <w:rsid w:val="000E0527"/>
    <w:rsid w:val="000E1E92"/>
    <w:rsid w:val="000E7592"/>
    <w:rsid w:val="000F06D6"/>
    <w:rsid w:val="000F0EB1"/>
    <w:rsid w:val="000F1106"/>
    <w:rsid w:val="000F3BE9"/>
    <w:rsid w:val="000F3F6C"/>
    <w:rsid w:val="000F6DF3"/>
    <w:rsid w:val="001005FF"/>
    <w:rsid w:val="00100BEC"/>
    <w:rsid w:val="00101D2B"/>
    <w:rsid w:val="00104987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70B44"/>
    <w:rsid w:val="00173A8E"/>
    <w:rsid w:val="00177795"/>
    <w:rsid w:val="0018143F"/>
    <w:rsid w:val="001828A9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6922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268E"/>
    <w:rsid w:val="00223FCB"/>
    <w:rsid w:val="002252C3"/>
    <w:rsid w:val="00225367"/>
    <w:rsid w:val="00225C54"/>
    <w:rsid w:val="00230765"/>
    <w:rsid w:val="002319E4"/>
    <w:rsid w:val="00232D03"/>
    <w:rsid w:val="00235632"/>
    <w:rsid w:val="00235872"/>
    <w:rsid w:val="00241559"/>
    <w:rsid w:val="002435B3"/>
    <w:rsid w:val="002458EB"/>
    <w:rsid w:val="00247682"/>
    <w:rsid w:val="0025004C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526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E20"/>
    <w:rsid w:val="002D7637"/>
    <w:rsid w:val="002E17F2"/>
    <w:rsid w:val="002E7CAE"/>
    <w:rsid w:val="002F2771"/>
    <w:rsid w:val="002F37A9"/>
    <w:rsid w:val="00301A62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42EF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6F4"/>
    <w:rsid w:val="003C7806"/>
    <w:rsid w:val="003D109F"/>
    <w:rsid w:val="003D2478"/>
    <w:rsid w:val="003D2FC4"/>
    <w:rsid w:val="003D3C45"/>
    <w:rsid w:val="003D5B1F"/>
    <w:rsid w:val="003E15FA"/>
    <w:rsid w:val="003E55E4"/>
    <w:rsid w:val="003E6008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04E"/>
    <w:rsid w:val="0041263E"/>
    <w:rsid w:val="00413AAC"/>
    <w:rsid w:val="00421105"/>
    <w:rsid w:val="004242F4"/>
    <w:rsid w:val="00427248"/>
    <w:rsid w:val="00437447"/>
    <w:rsid w:val="00441A87"/>
    <w:rsid w:val="00441A92"/>
    <w:rsid w:val="00444F56"/>
    <w:rsid w:val="00446488"/>
    <w:rsid w:val="004517AA"/>
    <w:rsid w:val="00452CAC"/>
    <w:rsid w:val="00453BA2"/>
    <w:rsid w:val="00457565"/>
    <w:rsid w:val="00457B71"/>
    <w:rsid w:val="00465F3A"/>
    <w:rsid w:val="004669E2"/>
    <w:rsid w:val="00470C31"/>
    <w:rsid w:val="004734D0"/>
    <w:rsid w:val="0047371B"/>
    <w:rsid w:val="0047556B"/>
    <w:rsid w:val="00477768"/>
    <w:rsid w:val="004907AC"/>
    <w:rsid w:val="00492BC5"/>
    <w:rsid w:val="004964F1"/>
    <w:rsid w:val="00497AD0"/>
    <w:rsid w:val="004A16BC"/>
    <w:rsid w:val="004A2B94"/>
    <w:rsid w:val="004A69FD"/>
    <w:rsid w:val="004B47C5"/>
    <w:rsid w:val="004B7C0C"/>
    <w:rsid w:val="004C3898"/>
    <w:rsid w:val="004D36B1"/>
    <w:rsid w:val="004D413B"/>
    <w:rsid w:val="004D7EBD"/>
    <w:rsid w:val="004E2680"/>
    <w:rsid w:val="004E28F9"/>
    <w:rsid w:val="004E2BE1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38D0"/>
    <w:rsid w:val="00534B59"/>
    <w:rsid w:val="00536759"/>
    <w:rsid w:val="00537C62"/>
    <w:rsid w:val="00546970"/>
    <w:rsid w:val="00554E19"/>
    <w:rsid w:val="00560A73"/>
    <w:rsid w:val="0056121F"/>
    <w:rsid w:val="00562D34"/>
    <w:rsid w:val="00572505"/>
    <w:rsid w:val="00580202"/>
    <w:rsid w:val="00582809"/>
    <w:rsid w:val="0058798C"/>
    <w:rsid w:val="005900FA"/>
    <w:rsid w:val="005935A4"/>
    <w:rsid w:val="005948C2"/>
    <w:rsid w:val="00595DCA"/>
    <w:rsid w:val="005960AE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E7534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912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18FE"/>
    <w:rsid w:val="0064208D"/>
    <w:rsid w:val="00643475"/>
    <w:rsid w:val="0064396A"/>
    <w:rsid w:val="0064624E"/>
    <w:rsid w:val="00650AB9"/>
    <w:rsid w:val="00652660"/>
    <w:rsid w:val="00655733"/>
    <w:rsid w:val="00655ACD"/>
    <w:rsid w:val="00656A92"/>
    <w:rsid w:val="00656DDE"/>
    <w:rsid w:val="0065722F"/>
    <w:rsid w:val="0066011D"/>
    <w:rsid w:val="006607C0"/>
    <w:rsid w:val="006613A6"/>
    <w:rsid w:val="006627A2"/>
    <w:rsid w:val="006632E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78F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13D7"/>
    <w:rsid w:val="007730BD"/>
    <w:rsid w:val="007755F2"/>
    <w:rsid w:val="007756B1"/>
    <w:rsid w:val="00776971"/>
    <w:rsid w:val="0078177E"/>
    <w:rsid w:val="00782B90"/>
    <w:rsid w:val="0078304C"/>
    <w:rsid w:val="00783673"/>
    <w:rsid w:val="00785490"/>
    <w:rsid w:val="00786410"/>
    <w:rsid w:val="007925EA"/>
    <w:rsid w:val="00793CD8"/>
    <w:rsid w:val="00795C92"/>
    <w:rsid w:val="00796231"/>
    <w:rsid w:val="007A1CB3"/>
    <w:rsid w:val="007A306F"/>
    <w:rsid w:val="007A42BC"/>
    <w:rsid w:val="007A43A6"/>
    <w:rsid w:val="007A58A6"/>
    <w:rsid w:val="007B14D3"/>
    <w:rsid w:val="007B3D2D"/>
    <w:rsid w:val="007B50AE"/>
    <w:rsid w:val="007B51DF"/>
    <w:rsid w:val="007C05DD"/>
    <w:rsid w:val="007C113C"/>
    <w:rsid w:val="007C3D18"/>
    <w:rsid w:val="007C60BF"/>
    <w:rsid w:val="007C6A07"/>
    <w:rsid w:val="007C75A1"/>
    <w:rsid w:val="007C77A5"/>
    <w:rsid w:val="007D04E5"/>
    <w:rsid w:val="007D187D"/>
    <w:rsid w:val="007D4FD7"/>
    <w:rsid w:val="007D5901"/>
    <w:rsid w:val="007D7526"/>
    <w:rsid w:val="007E4610"/>
    <w:rsid w:val="007E4715"/>
    <w:rsid w:val="007E505B"/>
    <w:rsid w:val="007E6574"/>
    <w:rsid w:val="007E7091"/>
    <w:rsid w:val="00800982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62D1"/>
    <w:rsid w:val="00827D6F"/>
    <w:rsid w:val="008304F5"/>
    <w:rsid w:val="00831DDB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6532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5609"/>
    <w:rsid w:val="008D5C04"/>
    <w:rsid w:val="008D6D1A"/>
    <w:rsid w:val="008E065E"/>
    <w:rsid w:val="008E0927"/>
    <w:rsid w:val="008E1909"/>
    <w:rsid w:val="008F0B06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A46"/>
    <w:rsid w:val="00916079"/>
    <w:rsid w:val="00917CE9"/>
    <w:rsid w:val="00920BF2"/>
    <w:rsid w:val="00922010"/>
    <w:rsid w:val="009312E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654"/>
    <w:rsid w:val="0095655A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17F6"/>
    <w:rsid w:val="00985253"/>
    <w:rsid w:val="009853B3"/>
    <w:rsid w:val="00990630"/>
    <w:rsid w:val="009907F2"/>
    <w:rsid w:val="00991761"/>
    <w:rsid w:val="00994DCA"/>
    <w:rsid w:val="009960EC"/>
    <w:rsid w:val="009970DD"/>
    <w:rsid w:val="009A0FBA"/>
    <w:rsid w:val="009A1601"/>
    <w:rsid w:val="009A462D"/>
    <w:rsid w:val="009A5CBA"/>
    <w:rsid w:val="009A7A1A"/>
    <w:rsid w:val="009B1F30"/>
    <w:rsid w:val="009B3AC2"/>
    <w:rsid w:val="009B4DF4"/>
    <w:rsid w:val="009B564E"/>
    <w:rsid w:val="009B7E87"/>
    <w:rsid w:val="009C403E"/>
    <w:rsid w:val="009C5523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3B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411"/>
    <w:rsid w:val="00A45B74"/>
    <w:rsid w:val="00A52E1D"/>
    <w:rsid w:val="00A5505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7B8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E7342"/>
    <w:rsid w:val="00AF1C5D"/>
    <w:rsid w:val="00AF42D7"/>
    <w:rsid w:val="00AF75A5"/>
    <w:rsid w:val="00B006FE"/>
    <w:rsid w:val="00B007CB"/>
    <w:rsid w:val="00B02AA9"/>
    <w:rsid w:val="00B02F1C"/>
    <w:rsid w:val="00B02FA3"/>
    <w:rsid w:val="00B05084"/>
    <w:rsid w:val="00B157F9"/>
    <w:rsid w:val="00B167F1"/>
    <w:rsid w:val="00B20256"/>
    <w:rsid w:val="00B20D09"/>
    <w:rsid w:val="00B224E2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90F73"/>
    <w:rsid w:val="00B93B59"/>
    <w:rsid w:val="00B9406A"/>
    <w:rsid w:val="00B972CE"/>
    <w:rsid w:val="00BA2280"/>
    <w:rsid w:val="00BA2A08"/>
    <w:rsid w:val="00BA56D2"/>
    <w:rsid w:val="00BA5DDD"/>
    <w:rsid w:val="00BA69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1A9"/>
    <w:rsid w:val="00C26FAA"/>
    <w:rsid w:val="00C279B5"/>
    <w:rsid w:val="00C27C45"/>
    <w:rsid w:val="00C3719D"/>
    <w:rsid w:val="00C43CD3"/>
    <w:rsid w:val="00C5144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1DED"/>
    <w:rsid w:val="00CD2ED1"/>
    <w:rsid w:val="00CD337B"/>
    <w:rsid w:val="00CE0424"/>
    <w:rsid w:val="00CE7561"/>
    <w:rsid w:val="00CF1354"/>
    <w:rsid w:val="00CF37DF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25ED4"/>
    <w:rsid w:val="00D3005B"/>
    <w:rsid w:val="00D36E71"/>
    <w:rsid w:val="00D37D87"/>
    <w:rsid w:val="00D40B33"/>
    <w:rsid w:val="00D4222C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2996"/>
    <w:rsid w:val="00DA305E"/>
    <w:rsid w:val="00DA5007"/>
    <w:rsid w:val="00DA5417"/>
    <w:rsid w:val="00DA56E8"/>
    <w:rsid w:val="00DB06C9"/>
    <w:rsid w:val="00DB0A9F"/>
    <w:rsid w:val="00DB377D"/>
    <w:rsid w:val="00DC1AEC"/>
    <w:rsid w:val="00DC2D36"/>
    <w:rsid w:val="00DC53EF"/>
    <w:rsid w:val="00DE45AB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6931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60B5"/>
    <w:rsid w:val="00EC6165"/>
    <w:rsid w:val="00EC71CE"/>
    <w:rsid w:val="00EC7AC5"/>
    <w:rsid w:val="00ED1006"/>
    <w:rsid w:val="00ED467B"/>
    <w:rsid w:val="00EF18FE"/>
    <w:rsid w:val="00EF5787"/>
    <w:rsid w:val="00EF60D0"/>
    <w:rsid w:val="00EF7CFC"/>
    <w:rsid w:val="00F01557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7FC"/>
    <w:rsid w:val="00F30828"/>
    <w:rsid w:val="00F313D6"/>
    <w:rsid w:val="00F40F0C"/>
    <w:rsid w:val="00F440D7"/>
    <w:rsid w:val="00F4766C"/>
    <w:rsid w:val="00F507D1"/>
    <w:rsid w:val="00F51320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6C6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14D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39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55D323"/>
  <w15:docId w15:val="{53A7F539-FB55-433D-B13A-052B89066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uiPriority w:val="99"/>
    <w:qFormat/>
    <w:rsid w:val="00B224E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uiPriority w:val="99"/>
    <w:rsid w:val="00B224E2"/>
    <w:rPr>
      <w:rFonts w:ascii="Arial" w:eastAsia="MS Mincho" w:hAnsi="Arial"/>
      <w:szCs w:val="24"/>
      <w:lang w:val="en-GB" w:eastAsia="en-GB"/>
    </w:rPr>
  </w:style>
  <w:style w:type="character" w:customStyle="1" w:styleId="ReferenceChar">
    <w:name w:val="Reference Char"/>
    <w:link w:val="Reference"/>
    <w:locked/>
    <w:rsid w:val="00C43CD3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6A678F"/>
    <w:rPr>
      <w:rFonts w:ascii="Arial" w:hAnsi="Arial"/>
      <w:lang w:val="en-GB"/>
    </w:rPr>
  </w:style>
  <w:style w:type="character" w:customStyle="1" w:styleId="TFChar">
    <w:name w:val="TF Char"/>
    <w:basedOn w:val="DefaultParagraphFont"/>
    <w:link w:val="TF"/>
    <w:rsid w:val="00453BA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53BA2"/>
    <w:rPr>
      <w:rFonts w:ascii="Arial" w:hAnsi="Arial"/>
      <w:b/>
      <w:lang w:val="en-GB" w:eastAsia="en-US"/>
    </w:rPr>
  </w:style>
  <w:style w:type="paragraph" w:styleId="PlainText">
    <w:name w:val="Plain Text"/>
    <w:basedOn w:val="Normal"/>
    <w:link w:val="PlainTextChar"/>
    <w:unhideWhenUsed/>
    <w:rsid w:val="00A04F3B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04F3B"/>
    <w:rPr>
      <w:rFonts w:ascii="Consolas" w:hAnsi="Consolas" w:cs="Consolas"/>
      <w:sz w:val="21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CF10B-84D1-4DC1-9FA0-E45123C95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228</TotalTime>
  <Pages>4</Pages>
  <Words>924</Words>
  <Characters>7492</Characters>
  <Application>Microsoft Office Word</Application>
  <DocSecurity>0</DocSecurity>
  <Lines>62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Stefan Wager</cp:lastModifiedBy>
  <cp:revision>13</cp:revision>
  <cp:lastPrinted>2008-01-31T06:09:00Z</cp:lastPrinted>
  <dcterms:created xsi:type="dcterms:W3CDTF">2016-09-30T10:02:00Z</dcterms:created>
  <dcterms:modified xsi:type="dcterms:W3CDTF">2016-09-30T20:25:00Z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